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B4" w:rsidRPr="0000222F" w:rsidRDefault="00117E9B" w:rsidP="0000222F">
      <w:pPr>
        <w:pStyle w:val="Citationintense"/>
        <w:rPr>
          <w:rStyle w:val="Emphaseple"/>
          <w:b/>
          <w:sz w:val="56"/>
        </w:rPr>
      </w:pPr>
      <w:r>
        <w:rPr>
          <w:rStyle w:val="Emphaseple"/>
          <w:b/>
          <w:sz w:val="56"/>
        </w:rPr>
        <w:t xml:space="preserve">Note de version </w:t>
      </w:r>
      <w:r w:rsidR="00245B9B">
        <w:rPr>
          <w:rStyle w:val="Emphaseple"/>
          <w:b/>
          <w:sz w:val="56"/>
        </w:rPr>
        <w:t>Primo</w:t>
      </w:r>
      <w:r>
        <w:rPr>
          <w:rStyle w:val="Emphaseple"/>
          <w:b/>
          <w:sz w:val="56"/>
        </w:rPr>
        <w:t xml:space="preserve"> –</w:t>
      </w:r>
      <w:r w:rsidR="00B62FD4">
        <w:rPr>
          <w:rStyle w:val="Emphaseple"/>
          <w:b/>
          <w:sz w:val="56"/>
        </w:rPr>
        <w:t xml:space="preserve">  </w:t>
      </w:r>
      <w:r>
        <w:rPr>
          <w:rStyle w:val="Emphaseple"/>
          <w:b/>
          <w:sz w:val="56"/>
        </w:rPr>
        <w:t xml:space="preserve"> </w:t>
      </w:r>
      <w:r w:rsidR="00541765">
        <w:rPr>
          <w:rStyle w:val="Emphaseple"/>
          <w:b/>
          <w:sz w:val="56"/>
        </w:rPr>
        <w:t>Quatrième</w:t>
      </w:r>
      <w:r w:rsidR="00B06136">
        <w:rPr>
          <w:rStyle w:val="Emphaseple"/>
          <w:b/>
          <w:sz w:val="56"/>
        </w:rPr>
        <w:t xml:space="preserve"> trimestre 202</w:t>
      </w:r>
      <w:r w:rsidR="00A94C91">
        <w:rPr>
          <w:rStyle w:val="Emphaseple"/>
          <w:b/>
          <w:sz w:val="56"/>
        </w:rPr>
        <w:t>2</w:t>
      </w:r>
    </w:p>
    <w:p w:rsidR="004B003B" w:rsidRDefault="004B003B" w:rsidP="004B003B"/>
    <w:p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541765" w:rsidRPr="007C7296">
          <w:rPr>
            <w:rStyle w:val="Lienhypertexte"/>
            <w:sz w:val="16"/>
          </w:rPr>
          <w:t>https://knowledge.exlibrisgroup.com/Primo/</w:t>
        </w:r>
        <w:r w:rsidR="00541765" w:rsidRPr="007C7296">
          <w:rPr>
            <w:rStyle w:val="Lienhypertexte"/>
            <w:sz w:val="16"/>
          </w:rPr>
          <w:t>R</w:t>
        </w:r>
        <w:r w:rsidR="00541765" w:rsidRPr="007C7296">
          <w:rPr>
            <w:rStyle w:val="Lienhypertexte"/>
            <w:sz w:val="16"/>
          </w:rPr>
          <w:t>elease_Notes/Primo/2022/001Primo_2022_Release_Notes?mon=202211BASE</w:t>
        </w:r>
      </w:hyperlink>
    </w:p>
    <w:p w:rsidR="009868D5" w:rsidRDefault="009868D5" w:rsidP="004B003B"/>
    <w:p w:rsidR="00FF5E46" w:rsidRDefault="00541765" w:rsidP="00FF5E46">
      <w:pPr>
        <w:pStyle w:val="Titre1"/>
        <w:jc w:val="both"/>
        <w:rPr>
          <w:rFonts w:asciiTheme="minorHAnsi" w:hAnsiTheme="minorHAnsi"/>
          <w:color w:val="auto"/>
          <w:sz w:val="40"/>
          <w:szCs w:val="40"/>
        </w:rPr>
      </w:pPr>
      <w:bookmarkStart w:id="0" w:name="OLE_LINK1"/>
      <w:bookmarkStart w:id="1" w:name="OLE_LINK2"/>
      <w:r>
        <w:rPr>
          <w:rFonts w:asciiTheme="minorHAnsi" w:hAnsiTheme="minorHAnsi"/>
          <w:color w:val="auto"/>
          <w:sz w:val="40"/>
          <w:szCs w:val="40"/>
        </w:rPr>
        <w:t>Partage vers les réseaux sociaux</w:t>
      </w:r>
    </w:p>
    <w:p w:rsidR="00541765" w:rsidRDefault="00A71F5F" w:rsidP="00FF5E46">
      <w:pPr>
        <w:jc w:val="both"/>
        <w:rPr>
          <w:rFonts w:ascii="Helvetica" w:hAnsi="Helvetica"/>
          <w:sz w:val="20"/>
        </w:rPr>
      </w:pPr>
      <w:r>
        <w:rPr>
          <w:rFonts w:ascii="Helvetica" w:hAnsi="Helvetica"/>
          <w:sz w:val="20"/>
        </w:rPr>
        <w:t>L</w:t>
      </w:r>
      <w:r w:rsidR="00541765">
        <w:rPr>
          <w:rFonts w:ascii="Helvetica" w:hAnsi="Helvetica"/>
          <w:sz w:val="20"/>
        </w:rPr>
        <w:t xml:space="preserve">es fonctions d’export s’enrichissent d’une nouvelle option : le partage vers les réseaux sociaux (WhatsApp, Twitter, Facebook et LinkedIn). </w:t>
      </w:r>
      <w:r w:rsidR="00AB370E">
        <w:rPr>
          <w:rFonts w:ascii="Helvetica" w:hAnsi="Helvetica"/>
          <w:sz w:val="20"/>
        </w:rPr>
        <w:t xml:space="preserve">L’utilisation de cette fonction se fait en deux temps : </w:t>
      </w:r>
    </w:p>
    <w:p w:rsidR="00AB370E" w:rsidRDefault="00AB370E" w:rsidP="00AB370E">
      <w:pPr>
        <w:pStyle w:val="Paragraphedeliste"/>
        <w:numPr>
          <w:ilvl w:val="0"/>
          <w:numId w:val="46"/>
        </w:numPr>
        <w:jc w:val="both"/>
        <w:rPr>
          <w:rFonts w:ascii="Helvetica" w:hAnsi="Helvetica"/>
          <w:sz w:val="20"/>
        </w:rPr>
      </w:pPr>
      <w:r>
        <w:rPr>
          <w:rFonts w:ascii="Helvetica" w:hAnsi="Helvetica"/>
          <w:sz w:val="20"/>
        </w:rPr>
        <w:t>L’usager copie le permalien, en cliquant sur le bouton Copier</w:t>
      </w:r>
    </w:p>
    <w:p w:rsidR="00AB370E" w:rsidRPr="00AB370E" w:rsidRDefault="00AB370E" w:rsidP="00AB370E">
      <w:pPr>
        <w:pStyle w:val="Paragraphedeliste"/>
        <w:numPr>
          <w:ilvl w:val="0"/>
          <w:numId w:val="46"/>
        </w:numPr>
        <w:jc w:val="both"/>
        <w:rPr>
          <w:rFonts w:ascii="Helvetica" w:hAnsi="Helvetica"/>
          <w:sz w:val="20"/>
        </w:rPr>
      </w:pPr>
      <w:r>
        <w:rPr>
          <w:rFonts w:ascii="Helvetica" w:hAnsi="Helvetica"/>
          <w:sz w:val="20"/>
        </w:rPr>
        <w:t>Il clique sur le logo du réseau social sur lequel il souhaite partager cette référence, ce clic l’envoyant vers la page d’authentification du site par le moyen de l’ouverture d’une nouvelle fenêtre du navigateur</w:t>
      </w:r>
    </w:p>
    <w:p w:rsidR="00AB370E" w:rsidRDefault="00AB370E" w:rsidP="00FF5E46">
      <w:pPr>
        <w:jc w:val="both"/>
        <w:rPr>
          <w:rFonts w:ascii="Helvetica" w:hAnsi="Helvetica"/>
          <w:sz w:val="20"/>
        </w:rPr>
      </w:pPr>
      <w:r>
        <w:rPr>
          <w:rFonts w:ascii="Helvetica" w:hAnsi="Helvetica"/>
          <w:noProof/>
          <w:sz w:val="20"/>
          <w:lang w:eastAsia="fr-FR"/>
        </w:rPr>
        <w:drawing>
          <wp:inline distT="0" distB="0" distL="0" distR="0">
            <wp:extent cx="5760720" cy="19824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ra Instantané_2022-11-25_172546_toulouse-primosb.hosted.exlibrisgroup.co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982470"/>
                    </a:xfrm>
                    <a:prstGeom prst="rect">
                      <a:avLst/>
                    </a:prstGeom>
                  </pic:spPr>
                </pic:pic>
              </a:graphicData>
            </a:graphic>
          </wp:inline>
        </w:drawing>
      </w:r>
    </w:p>
    <w:p w:rsidR="00AB370E" w:rsidRDefault="00AB370E" w:rsidP="00FF5E46">
      <w:pPr>
        <w:jc w:val="both"/>
        <w:rPr>
          <w:rFonts w:ascii="Helvetica" w:hAnsi="Helvetica"/>
          <w:sz w:val="20"/>
        </w:rPr>
      </w:pPr>
    </w:p>
    <w:p w:rsidR="00AB370E" w:rsidRDefault="00AB370E" w:rsidP="00FF5E46">
      <w:pPr>
        <w:jc w:val="both"/>
        <w:rPr>
          <w:rFonts w:ascii="Helvetica" w:hAnsi="Helvetica"/>
          <w:sz w:val="20"/>
        </w:rPr>
      </w:pPr>
      <w:r>
        <w:rPr>
          <w:rFonts w:ascii="Helvetica" w:hAnsi="Helvetica"/>
          <w:sz w:val="20"/>
        </w:rPr>
        <w:t>Cette option</w:t>
      </w:r>
      <w:r w:rsidR="00A00E8B">
        <w:rPr>
          <w:rFonts w:ascii="Helvetica" w:hAnsi="Helvetica"/>
          <w:sz w:val="20"/>
        </w:rPr>
        <w:t>, désactivée par défaut,</w:t>
      </w:r>
      <w:r>
        <w:rPr>
          <w:rFonts w:ascii="Helvetica" w:hAnsi="Helvetica"/>
          <w:sz w:val="20"/>
        </w:rPr>
        <w:t xml:space="preserve"> peut être activée pour l’ensemble des vues ou seulement pour celles qui le souhaitent. Il est possible également de déterminer quels réseaux sociaux sont affichés </w:t>
      </w:r>
      <w:r w:rsidR="007E66B8">
        <w:rPr>
          <w:rFonts w:ascii="Helvetica" w:hAnsi="Helvetica"/>
          <w:sz w:val="20"/>
        </w:rPr>
        <w:t>parmi les quatre</w:t>
      </w:r>
      <w:r>
        <w:rPr>
          <w:rFonts w:ascii="Helvetica" w:hAnsi="Helvetica"/>
          <w:sz w:val="20"/>
        </w:rPr>
        <w:t xml:space="preserve"> proposés</w:t>
      </w:r>
      <w:r w:rsidR="007E66B8">
        <w:rPr>
          <w:rFonts w:ascii="Helvetica" w:hAnsi="Helvetica"/>
          <w:sz w:val="20"/>
        </w:rPr>
        <w:t xml:space="preserve"> par défaut</w:t>
      </w:r>
      <w:r>
        <w:rPr>
          <w:rFonts w:ascii="Helvetica" w:hAnsi="Helvetica"/>
          <w:sz w:val="20"/>
        </w:rPr>
        <w:t xml:space="preserve">. Là aussi, ce choix peut être fait pour l’ensemble des vues ou séparément. Le positionnement de la fonction parmi les autres options de recherche peut être </w:t>
      </w:r>
      <w:r w:rsidR="007E66B8">
        <w:rPr>
          <w:rFonts w:ascii="Helvetica" w:hAnsi="Helvetica"/>
          <w:sz w:val="20"/>
        </w:rPr>
        <w:t xml:space="preserve">également </w:t>
      </w:r>
      <w:r>
        <w:rPr>
          <w:rFonts w:ascii="Helvetica" w:hAnsi="Helvetica"/>
          <w:sz w:val="20"/>
        </w:rPr>
        <w:t xml:space="preserve">changé, y compris séparément pour chaque vue. </w:t>
      </w:r>
    </w:p>
    <w:p w:rsidR="00AB370E" w:rsidRDefault="00AB370E" w:rsidP="00FF5E46">
      <w:pPr>
        <w:jc w:val="both"/>
        <w:rPr>
          <w:rFonts w:ascii="Helvetica" w:hAnsi="Helvetica"/>
          <w:sz w:val="20"/>
        </w:rPr>
      </w:pPr>
      <w:r>
        <w:rPr>
          <w:rFonts w:ascii="Helvetica" w:hAnsi="Helvetica"/>
          <w:sz w:val="20"/>
        </w:rPr>
        <w:t xml:space="preserve">Les intitulés sont modifiables et des statistiques peuvent être fournies pour mesurer l’usage de cette fonction et l’utilisation respective de chaque réseau social. </w:t>
      </w:r>
    </w:p>
    <w:p w:rsidR="00C61370" w:rsidRDefault="00C61370" w:rsidP="00D45973">
      <w:pPr>
        <w:jc w:val="both"/>
        <w:rPr>
          <w:rFonts w:ascii="Helvetica" w:hAnsi="Helvetica"/>
          <w:sz w:val="20"/>
        </w:rPr>
      </w:pPr>
    </w:p>
    <w:p w:rsidR="003C7234" w:rsidRDefault="003C7234" w:rsidP="00D45973">
      <w:pPr>
        <w:jc w:val="both"/>
        <w:rPr>
          <w:rFonts w:ascii="Helvetica" w:hAnsi="Helvetica"/>
          <w:sz w:val="20"/>
        </w:rPr>
      </w:pPr>
    </w:p>
    <w:bookmarkEnd w:id="0"/>
    <w:bookmarkEnd w:id="1"/>
    <w:p w:rsidR="00A71F5F" w:rsidRDefault="003E7AF0" w:rsidP="00A71F5F">
      <w:pPr>
        <w:pStyle w:val="Titre1"/>
        <w:jc w:val="both"/>
        <w:rPr>
          <w:rFonts w:asciiTheme="minorHAnsi" w:hAnsiTheme="minorHAnsi"/>
          <w:color w:val="auto"/>
          <w:sz w:val="40"/>
          <w:szCs w:val="40"/>
        </w:rPr>
      </w:pPr>
      <w:r>
        <w:rPr>
          <w:rFonts w:asciiTheme="minorHAnsi" w:hAnsiTheme="minorHAnsi"/>
          <w:color w:val="auto"/>
          <w:sz w:val="40"/>
          <w:szCs w:val="40"/>
        </w:rPr>
        <w:lastRenderedPageBreak/>
        <w:t>Améliorations de la f</w:t>
      </w:r>
      <w:r w:rsidR="007E66B8">
        <w:rPr>
          <w:rFonts w:asciiTheme="minorHAnsi" w:hAnsiTheme="minorHAnsi"/>
          <w:color w:val="auto"/>
          <w:sz w:val="40"/>
          <w:szCs w:val="40"/>
        </w:rPr>
        <w:t xml:space="preserve">onction de </w:t>
      </w:r>
      <w:r w:rsidR="007E66B8" w:rsidRPr="007E66B8">
        <w:rPr>
          <w:rFonts w:asciiTheme="minorHAnsi" w:hAnsiTheme="minorHAnsi"/>
          <w:i/>
          <w:color w:val="auto"/>
          <w:sz w:val="40"/>
          <w:szCs w:val="40"/>
        </w:rPr>
        <w:t>feedback</w:t>
      </w:r>
    </w:p>
    <w:p w:rsidR="007E66B8" w:rsidRDefault="00541867" w:rsidP="00A71F5F">
      <w:pPr>
        <w:jc w:val="both"/>
        <w:rPr>
          <w:rFonts w:ascii="Helvetica" w:hAnsi="Helvetica"/>
          <w:sz w:val="20"/>
        </w:rPr>
      </w:pPr>
      <w:r>
        <w:rPr>
          <w:rFonts w:ascii="Helvetica" w:hAnsi="Helvetica"/>
          <w:sz w:val="20"/>
        </w:rPr>
        <w:t>La fonction</w:t>
      </w:r>
      <w:r w:rsidR="007E66B8">
        <w:rPr>
          <w:rFonts w:ascii="Helvetica" w:hAnsi="Helvetica"/>
          <w:sz w:val="20"/>
        </w:rPr>
        <w:t xml:space="preserve"> de</w:t>
      </w:r>
      <w:r>
        <w:rPr>
          <w:rFonts w:ascii="Helvetica" w:hAnsi="Helvetica"/>
          <w:sz w:val="20"/>
        </w:rPr>
        <w:t xml:space="preserve"> </w:t>
      </w:r>
      <w:r w:rsidR="007E66B8">
        <w:rPr>
          <w:rFonts w:ascii="Helvetica" w:hAnsi="Helvetica"/>
          <w:i/>
          <w:sz w:val="20"/>
        </w:rPr>
        <w:t>Feedback</w:t>
      </w:r>
      <w:r w:rsidR="007E66B8">
        <w:rPr>
          <w:rFonts w:ascii="Helvetica" w:hAnsi="Helvetica"/>
          <w:sz w:val="20"/>
        </w:rPr>
        <w:t xml:space="preserve">, précédemment implémentée pour permettre le signalement à la bibliothèque de lien brisé ou l’envoi de question sur les résultats affichés sur une page donnée, reçoit plusieurs améliorations avec cette version de Primo. Parmi celles-ci, on peut citer : </w:t>
      </w:r>
    </w:p>
    <w:p w:rsidR="007E66B8" w:rsidRDefault="007E66B8" w:rsidP="007E66B8">
      <w:pPr>
        <w:pStyle w:val="Paragraphedeliste"/>
        <w:numPr>
          <w:ilvl w:val="0"/>
          <w:numId w:val="47"/>
        </w:numPr>
        <w:jc w:val="both"/>
        <w:rPr>
          <w:rFonts w:ascii="Helvetica" w:hAnsi="Helvetica"/>
          <w:sz w:val="20"/>
        </w:rPr>
      </w:pPr>
      <w:r>
        <w:rPr>
          <w:rFonts w:ascii="Helvetica" w:hAnsi="Helvetica"/>
          <w:sz w:val="20"/>
        </w:rPr>
        <w:t>Le fait de pouvoir rendre obligatoire les champs Adresse et Description du problème</w:t>
      </w:r>
    </w:p>
    <w:p w:rsidR="007E66B8" w:rsidRDefault="007E66B8" w:rsidP="007E66B8">
      <w:pPr>
        <w:pStyle w:val="Paragraphedeliste"/>
        <w:numPr>
          <w:ilvl w:val="0"/>
          <w:numId w:val="47"/>
        </w:numPr>
        <w:jc w:val="both"/>
        <w:rPr>
          <w:rFonts w:ascii="Helvetica" w:hAnsi="Helvetica"/>
          <w:sz w:val="20"/>
        </w:rPr>
      </w:pPr>
      <w:r>
        <w:rPr>
          <w:rFonts w:ascii="Helvetica" w:hAnsi="Helvetica"/>
          <w:sz w:val="20"/>
        </w:rPr>
        <w:t>Le fait de pouvoir customiser l’icône matérialisant le service</w:t>
      </w:r>
      <w:r w:rsidR="00A00E8B">
        <w:rPr>
          <w:rFonts w:ascii="Helvetica" w:hAnsi="Helvetica"/>
          <w:sz w:val="20"/>
        </w:rPr>
        <w:t xml:space="preserve"> et celle représentant la fonction d’envoi du message (nota bene : </w:t>
      </w:r>
      <w:r>
        <w:rPr>
          <w:rFonts w:ascii="Helvetica" w:hAnsi="Helvetica"/>
          <w:sz w:val="20"/>
        </w:rPr>
        <w:t xml:space="preserve">cette personnalisation </w:t>
      </w:r>
      <w:r w:rsidR="00A00E8B">
        <w:rPr>
          <w:rFonts w:ascii="Helvetica" w:hAnsi="Helvetica"/>
          <w:sz w:val="20"/>
        </w:rPr>
        <w:t>se limite à la modification de ces icônes, pas au positionnement du service lui-même, qu’il reste impossible de changer à ce jour)</w:t>
      </w:r>
    </w:p>
    <w:p w:rsidR="00541867" w:rsidRDefault="00541867" w:rsidP="00A71F5F">
      <w:pPr>
        <w:jc w:val="both"/>
        <w:rPr>
          <w:rFonts w:ascii="Geneva" w:hAnsi="Geneva"/>
          <w:color w:val="000000"/>
          <w:sz w:val="18"/>
          <w:szCs w:val="18"/>
        </w:rPr>
      </w:pPr>
    </w:p>
    <w:p w:rsidR="007E66B8" w:rsidRDefault="007E66B8" w:rsidP="00A71F5F">
      <w:pPr>
        <w:jc w:val="both"/>
        <w:rPr>
          <w:rFonts w:ascii="Geneva" w:hAnsi="Geneva"/>
          <w:color w:val="000000"/>
          <w:sz w:val="18"/>
          <w:szCs w:val="18"/>
        </w:rPr>
      </w:pPr>
    </w:p>
    <w:p w:rsidR="00597257" w:rsidRDefault="00A00E8B" w:rsidP="00597257">
      <w:pPr>
        <w:pStyle w:val="Titre1"/>
        <w:jc w:val="both"/>
        <w:rPr>
          <w:rFonts w:asciiTheme="minorHAnsi" w:hAnsiTheme="minorHAnsi"/>
          <w:color w:val="auto"/>
          <w:sz w:val="40"/>
          <w:szCs w:val="40"/>
        </w:rPr>
      </w:pPr>
      <w:r>
        <w:rPr>
          <w:rFonts w:asciiTheme="minorHAnsi" w:hAnsiTheme="minorHAnsi"/>
          <w:color w:val="auto"/>
          <w:sz w:val="40"/>
          <w:szCs w:val="40"/>
        </w:rPr>
        <w:t>Affichage d’un message d’avertissement lorsqu’un usager tente d’ajouter une notice à ses favoris sans s’être préalablement connecté à son compte lecteur</w:t>
      </w:r>
    </w:p>
    <w:p w:rsidR="00A00E8B" w:rsidRDefault="00A00E8B" w:rsidP="00597257">
      <w:pPr>
        <w:jc w:val="both"/>
        <w:rPr>
          <w:rFonts w:ascii="Helvetica" w:hAnsi="Helvetica"/>
          <w:sz w:val="20"/>
        </w:rPr>
      </w:pPr>
      <w:r>
        <w:rPr>
          <w:rFonts w:ascii="Helvetica" w:hAnsi="Helvetica"/>
          <w:sz w:val="20"/>
        </w:rPr>
        <w:t>Lorsque le catalogue est consulté en mode non-connecté, il est possible d’ajouter des notices dans ses favoris. Cependant, ces notices ne sont enregistrées que le temps de la session. Pour prévenir tout risque de perte, un message d’avertissement est désormais proposé.</w:t>
      </w:r>
    </w:p>
    <w:p w:rsidR="00A00E8B" w:rsidRDefault="00A00E8B" w:rsidP="00A00E8B">
      <w:pPr>
        <w:jc w:val="center"/>
        <w:rPr>
          <w:rFonts w:ascii="Helvetica" w:hAnsi="Helvetica"/>
          <w:sz w:val="20"/>
        </w:rPr>
      </w:pPr>
      <w:r>
        <w:rPr>
          <w:rFonts w:ascii="Helvetica" w:hAnsi="Helvetica"/>
          <w:noProof/>
          <w:sz w:val="20"/>
          <w:lang w:eastAsia="fr-FR"/>
        </w:rPr>
        <w:drawing>
          <wp:inline distT="0" distB="0" distL="0" distR="0">
            <wp:extent cx="3629025" cy="34480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ra Instantané_2022-11-25_175004_toulouse-primosb.hosted.exlibrisgroup.com.png"/>
                    <pic:cNvPicPr/>
                  </pic:nvPicPr>
                  <pic:blipFill>
                    <a:blip r:embed="rId10">
                      <a:extLst>
                        <a:ext uri="{28A0092B-C50C-407E-A947-70E740481C1C}">
                          <a14:useLocalDpi xmlns:a14="http://schemas.microsoft.com/office/drawing/2010/main" val="0"/>
                        </a:ext>
                      </a:extLst>
                    </a:blip>
                    <a:stretch>
                      <a:fillRect/>
                    </a:stretch>
                  </pic:blipFill>
                  <pic:spPr>
                    <a:xfrm>
                      <a:off x="0" y="0"/>
                      <a:ext cx="3629025" cy="3448050"/>
                    </a:xfrm>
                    <a:prstGeom prst="rect">
                      <a:avLst/>
                    </a:prstGeom>
                  </pic:spPr>
                </pic:pic>
              </a:graphicData>
            </a:graphic>
          </wp:inline>
        </w:drawing>
      </w:r>
    </w:p>
    <w:p w:rsidR="00A00E8B" w:rsidRDefault="00A00E8B" w:rsidP="00597257">
      <w:pPr>
        <w:jc w:val="both"/>
        <w:rPr>
          <w:rFonts w:ascii="Helvetica" w:hAnsi="Helvetica"/>
          <w:sz w:val="20"/>
        </w:rPr>
      </w:pPr>
    </w:p>
    <w:p w:rsidR="00A00E8B" w:rsidRDefault="00A00E8B" w:rsidP="00597257">
      <w:pPr>
        <w:jc w:val="both"/>
        <w:rPr>
          <w:rFonts w:ascii="Helvetica" w:hAnsi="Helvetica"/>
          <w:sz w:val="20"/>
        </w:rPr>
      </w:pPr>
      <w:r>
        <w:rPr>
          <w:rFonts w:ascii="Helvetica" w:hAnsi="Helvetica"/>
          <w:sz w:val="20"/>
        </w:rPr>
        <w:t>Ce message est désactivé par défaut. Il peut être activé pour l’ensemble des vues ou pour celles qui le souhaitent</w:t>
      </w:r>
      <w:r w:rsidR="00594E6E">
        <w:rPr>
          <w:rFonts w:ascii="Helvetica" w:hAnsi="Helvetica"/>
          <w:sz w:val="20"/>
        </w:rPr>
        <w:t xml:space="preserve">, et </w:t>
      </w:r>
      <w:r>
        <w:rPr>
          <w:rFonts w:ascii="Helvetica" w:hAnsi="Helvetica"/>
          <w:sz w:val="20"/>
        </w:rPr>
        <w:t>peut être</w:t>
      </w:r>
      <w:r w:rsidR="00594E6E">
        <w:rPr>
          <w:rFonts w:ascii="Helvetica" w:hAnsi="Helvetica"/>
          <w:sz w:val="20"/>
        </w:rPr>
        <w:t xml:space="preserve"> également</w:t>
      </w:r>
      <w:r>
        <w:rPr>
          <w:rFonts w:ascii="Helvetica" w:hAnsi="Helvetica"/>
          <w:sz w:val="20"/>
        </w:rPr>
        <w:t xml:space="preserve"> personnalisé, vue par vue</w:t>
      </w:r>
      <w:r w:rsidR="00594E6E">
        <w:rPr>
          <w:rFonts w:ascii="Helvetica" w:hAnsi="Helvetica"/>
          <w:sz w:val="20"/>
        </w:rPr>
        <w:t xml:space="preserve"> au besoin</w:t>
      </w:r>
      <w:r>
        <w:rPr>
          <w:rFonts w:ascii="Helvetica" w:hAnsi="Helvetica"/>
          <w:sz w:val="20"/>
        </w:rPr>
        <w:t xml:space="preserve">.  </w:t>
      </w:r>
    </w:p>
    <w:p w:rsidR="00597257" w:rsidRDefault="00597257" w:rsidP="001B4C8A">
      <w:pPr>
        <w:jc w:val="both"/>
        <w:rPr>
          <w:rFonts w:ascii="Helvetica" w:hAnsi="Helvetica"/>
          <w:sz w:val="20"/>
        </w:rPr>
      </w:pPr>
    </w:p>
    <w:p w:rsidR="00597257" w:rsidRDefault="00597257" w:rsidP="001B4C8A">
      <w:pPr>
        <w:jc w:val="both"/>
        <w:rPr>
          <w:rFonts w:ascii="Helvetica" w:hAnsi="Helvetica"/>
          <w:sz w:val="20"/>
        </w:rPr>
      </w:pPr>
    </w:p>
    <w:p w:rsidR="00A00E8B" w:rsidRDefault="00A00E8B" w:rsidP="00A00E8B">
      <w:pPr>
        <w:pStyle w:val="Titre1"/>
        <w:jc w:val="both"/>
        <w:rPr>
          <w:rFonts w:asciiTheme="minorHAnsi" w:hAnsiTheme="minorHAnsi"/>
          <w:color w:val="auto"/>
          <w:sz w:val="40"/>
          <w:szCs w:val="40"/>
        </w:rPr>
      </w:pPr>
      <w:r w:rsidRPr="00A00E8B">
        <w:rPr>
          <w:rFonts w:asciiTheme="minorHAnsi" w:hAnsiTheme="minorHAnsi"/>
          <w:color w:val="auto"/>
          <w:sz w:val="40"/>
          <w:szCs w:val="40"/>
        </w:rPr>
        <w:t>Contrôle aux fins de non-</w:t>
      </w:r>
      <w:proofErr w:type="spellStart"/>
      <w:r w:rsidRPr="00A00E8B">
        <w:rPr>
          <w:rFonts w:asciiTheme="minorHAnsi" w:hAnsiTheme="minorHAnsi"/>
          <w:color w:val="auto"/>
          <w:sz w:val="40"/>
          <w:szCs w:val="40"/>
        </w:rPr>
        <w:t>proxyfication</w:t>
      </w:r>
      <w:proofErr w:type="spellEnd"/>
      <w:r w:rsidRPr="00A00E8B">
        <w:rPr>
          <w:rFonts w:asciiTheme="minorHAnsi" w:hAnsiTheme="minorHAnsi"/>
          <w:color w:val="auto"/>
          <w:sz w:val="40"/>
          <w:szCs w:val="40"/>
        </w:rPr>
        <w:t xml:space="preserve"> des liens CDI en </w:t>
      </w:r>
      <w:r w:rsidRPr="00A00E8B">
        <w:rPr>
          <w:rFonts w:asciiTheme="minorHAnsi" w:hAnsiTheme="minorHAnsi"/>
          <w:i/>
          <w:color w:val="auto"/>
          <w:sz w:val="40"/>
          <w:szCs w:val="40"/>
        </w:rPr>
        <w:t xml:space="preserve">open </w:t>
      </w:r>
      <w:proofErr w:type="spellStart"/>
      <w:r w:rsidRPr="00A00E8B">
        <w:rPr>
          <w:rFonts w:asciiTheme="minorHAnsi" w:hAnsiTheme="minorHAnsi"/>
          <w:i/>
          <w:color w:val="auto"/>
          <w:sz w:val="40"/>
          <w:szCs w:val="40"/>
        </w:rPr>
        <w:t>access</w:t>
      </w:r>
      <w:proofErr w:type="spellEnd"/>
    </w:p>
    <w:p w:rsidR="00A00E8B" w:rsidRDefault="00A00E8B" w:rsidP="00A00E8B">
      <w:pPr>
        <w:jc w:val="both"/>
        <w:rPr>
          <w:rFonts w:ascii="Helvetica" w:hAnsi="Helvetica"/>
          <w:sz w:val="20"/>
        </w:rPr>
      </w:pPr>
      <w:r>
        <w:rPr>
          <w:rFonts w:ascii="Helvetica" w:hAnsi="Helvetica"/>
          <w:sz w:val="20"/>
        </w:rPr>
        <w:t>Comme annoncé dans la version d’</w:t>
      </w:r>
      <w:r w:rsidRPr="00A00E8B">
        <w:rPr>
          <w:rFonts w:ascii="Helvetica" w:hAnsi="Helvetica"/>
          <w:sz w:val="20"/>
        </w:rPr>
        <w:t>Alma</w:t>
      </w:r>
      <w:r>
        <w:rPr>
          <w:rFonts w:ascii="Helvetica" w:hAnsi="Helvetica"/>
          <w:sz w:val="20"/>
        </w:rPr>
        <w:t xml:space="preserve"> du dernier trimestre 2022, un contrôle est effectué, désormais, </w:t>
      </w:r>
      <w:r w:rsidRPr="00A00E8B">
        <w:rPr>
          <w:rFonts w:ascii="Helvetica" w:hAnsi="Helvetica"/>
          <w:sz w:val="20"/>
        </w:rPr>
        <w:t xml:space="preserve">sur les liens embarqués dans les notices CDI pour vérifier s’ils pointent ou non vers des ressources en </w:t>
      </w:r>
      <w:r w:rsidRPr="00A00E8B">
        <w:rPr>
          <w:rFonts w:ascii="Helvetica" w:hAnsi="Helvetica"/>
          <w:i/>
          <w:sz w:val="20"/>
        </w:rPr>
        <w:t xml:space="preserve">open </w:t>
      </w:r>
      <w:proofErr w:type="spellStart"/>
      <w:r w:rsidRPr="00A00E8B">
        <w:rPr>
          <w:rFonts w:ascii="Helvetica" w:hAnsi="Helvetica"/>
          <w:i/>
          <w:sz w:val="20"/>
        </w:rPr>
        <w:t>access</w:t>
      </w:r>
      <w:proofErr w:type="spellEnd"/>
      <w:r w:rsidRPr="00A00E8B">
        <w:rPr>
          <w:rFonts w:ascii="Helvetica" w:hAnsi="Helvetica"/>
          <w:sz w:val="20"/>
        </w:rPr>
        <w:t xml:space="preserve">. Si le lien vers la ressource est identifié comme « free to </w:t>
      </w:r>
      <w:proofErr w:type="spellStart"/>
      <w:r w:rsidRPr="00A00E8B">
        <w:rPr>
          <w:rFonts w:ascii="Helvetica" w:hAnsi="Helvetica"/>
          <w:sz w:val="20"/>
        </w:rPr>
        <w:t>read</w:t>
      </w:r>
      <w:proofErr w:type="spellEnd"/>
      <w:r w:rsidRPr="00A00E8B">
        <w:rPr>
          <w:rFonts w:ascii="Helvetica" w:hAnsi="Helvetica"/>
          <w:sz w:val="20"/>
        </w:rPr>
        <w:t xml:space="preserve"> </w:t>
      </w:r>
      <w:r>
        <w:rPr>
          <w:rFonts w:ascii="Helvetica" w:hAnsi="Helvetica"/>
          <w:sz w:val="20"/>
        </w:rPr>
        <w:t xml:space="preserve">», le lien n’est pas </w:t>
      </w:r>
      <w:proofErr w:type="spellStart"/>
      <w:r>
        <w:rPr>
          <w:rFonts w:ascii="Helvetica" w:hAnsi="Helvetica"/>
          <w:sz w:val="20"/>
        </w:rPr>
        <w:t>proxyfié</w:t>
      </w:r>
      <w:proofErr w:type="spellEnd"/>
      <w:r>
        <w:rPr>
          <w:rFonts w:ascii="Helvetica" w:hAnsi="Helvetica"/>
          <w:sz w:val="20"/>
        </w:rPr>
        <w:t>.</w:t>
      </w:r>
    </w:p>
    <w:p w:rsidR="00594E6E" w:rsidRDefault="00594E6E" w:rsidP="00A00E8B">
      <w:pPr>
        <w:jc w:val="both"/>
        <w:rPr>
          <w:rFonts w:ascii="Helvetica" w:hAnsi="Helvetica"/>
          <w:sz w:val="20"/>
        </w:rPr>
      </w:pPr>
    </w:p>
    <w:p w:rsidR="00594E6E" w:rsidRDefault="00594E6E" w:rsidP="00A00E8B">
      <w:pPr>
        <w:jc w:val="both"/>
        <w:rPr>
          <w:rFonts w:ascii="Helvetica" w:hAnsi="Helvetica"/>
          <w:sz w:val="20"/>
        </w:rPr>
      </w:pPr>
    </w:p>
    <w:p w:rsidR="00594E6E" w:rsidRDefault="003E7AF0" w:rsidP="00594E6E">
      <w:pPr>
        <w:pStyle w:val="Titre1"/>
        <w:jc w:val="both"/>
        <w:rPr>
          <w:rFonts w:asciiTheme="minorHAnsi" w:hAnsiTheme="minorHAnsi"/>
          <w:color w:val="auto"/>
          <w:sz w:val="40"/>
          <w:szCs w:val="40"/>
        </w:rPr>
      </w:pPr>
      <w:r>
        <w:rPr>
          <w:rFonts w:asciiTheme="minorHAnsi" w:hAnsiTheme="minorHAnsi"/>
          <w:color w:val="auto"/>
          <w:sz w:val="40"/>
          <w:szCs w:val="40"/>
        </w:rPr>
        <w:t>Personnalisation de l’ordre d’affichage des liens CDI</w:t>
      </w:r>
      <w:bookmarkStart w:id="2" w:name="_GoBack"/>
      <w:bookmarkEnd w:id="2"/>
    </w:p>
    <w:p w:rsidR="00594E6E" w:rsidRDefault="00594E6E" w:rsidP="00594E6E">
      <w:pPr>
        <w:jc w:val="both"/>
        <w:rPr>
          <w:rFonts w:ascii="Helvetica" w:hAnsi="Helvetica"/>
          <w:sz w:val="20"/>
          <w:szCs w:val="20"/>
        </w:rPr>
      </w:pPr>
      <w:r>
        <w:rPr>
          <w:rFonts w:ascii="Helvetica" w:hAnsi="Helvetica"/>
          <w:sz w:val="20"/>
        </w:rPr>
        <w:t xml:space="preserve">Comme annoncé dans </w:t>
      </w:r>
      <w:r>
        <w:rPr>
          <w:rFonts w:ascii="Helvetica" w:hAnsi="Helvetica"/>
          <w:sz w:val="20"/>
        </w:rPr>
        <w:t>cette même</w:t>
      </w:r>
      <w:r>
        <w:rPr>
          <w:rFonts w:ascii="Helvetica" w:hAnsi="Helvetica"/>
          <w:sz w:val="20"/>
        </w:rPr>
        <w:t xml:space="preserve"> version d’</w:t>
      </w:r>
      <w:r w:rsidRPr="00A00E8B">
        <w:rPr>
          <w:rFonts w:ascii="Helvetica" w:hAnsi="Helvetica"/>
          <w:sz w:val="20"/>
        </w:rPr>
        <w:t>Alma</w:t>
      </w:r>
      <w:r>
        <w:rPr>
          <w:rFonts w:ascii="Helvetica" w:hAnsi="Helvetica"/>
          <w:sz w:val="20"/>
        </w:rPr>
        <w:t xml:space="preserve">, il est également </w:t>
      </w:r>
      <w:r>
        <w:rPr>
          <w:rFonts w:ascii="Helvetica" w:hAnsi="Helvetica"/>
          <w:sz w:val="20"/>
          <w:szCs w:val="20"/>
        </w:rPr>
        <w:t>possible de définir un ordre de préférence pour l’affichage des liens internes</w:t>
      </w:r>
      <w:r>
        <w:rPr>
          <w:rFonts w:ascii="Helvetica" w:hAnsi="Helvetica"/>
          <w:sz w:val="20"/>
          <w:szCs w:val="20"/>
        </w:rPr>
        <w:t xml:space="preserve"> issus</w:t>
      </w:r>
      <w:r>
        <w:rPr>
          <w:rFonts w:ascii="Helvetica" w:hAnsi="Helvetica"/>
          <w:sz w:val="20"/>
          <w:szCs w:val="20"/>
        </w:rPr>
        <w:t xml:space="preserve"> des notices CDI et plus précisément des liens de type </w:t>
      </w:r>
      <w:r w:rsidRPr="0010405D">
        <w:rPr>
          <w:rFonts w:ascii="Helvetica" w:hAnsi="Helvetica"/>
          <w:i/>
          <w:sz w:val="20"/>
          <w:szCs w:val="20"/>
        </w:rPr>
        <w:t>Link in Record</w:t>
      </w:r>
      <w:r w:rsidRPr="0010405D">
        <w:rPr>
          <w:rFonts w:ascii="Helvetica" w:hAnsi="Helvetica"/>
          <w:sz w:val="20"/>
          <w:szCs w:val="20"/>
        </w:rPr>
        <w:t xml:space="preserve"> </w:t>
      </w:r>
      <w:r>
        <w:rPr>
          <w:rFonts w:ascii="Helvetica" w:hAnsi="Helvetica"/>
          <w:sz w:val="20"/>
          <w:szCs w:val="20"/>
        </w:rPr>
        <w:t>et</w:t>
      </w:r>
      <w:r w:rsidRPr="0010405D">
        <w:rPr>
          <w:rFonts w:ascii="Helvetica" w:hAnsi="Helvetica"/>
          <w:sz w:val="20"/>
          <w:szCs w:val="20"/>
        </w:rPr>
        <w:t xml:space="preserve"> </w:t>
      </w:r>
      <w:proofErr w:type="spellStart"/>
      <w:r w:rsidRPr="0010405D">
        <w:rPr>
          <w:rFonts w:ascii="Helvetica" w:hAnsi="Helvetica"/>
          <w:i/>
          <w:sz w:val="20"/>
          <w:szCs w:val="20"/>
        </w:rPr>
        <w:t>Quicklinks</w:t>
      </w:r>
      <w:proofErr w:type="spellEnd"/>
      <w:r>
        <w:rPr>
          <w:rFonts w:ascii="Helvetica" w:hAnsi="Helvetica"/>
          <w:sz w:val="20"/>
          <w:szCs w:val="20"/>
        </w:rPr>
        <w:t xml:space="preserve">. </w:t>
      </w:r>
    </w:p>
    <w:p w:rsidR="00597257" w:rsidRDefault="00594E6E" w:rsidP="00124C05">
      <w:pPr>
        <w:jc w:val="both"/>
        <w:rPr>
          <w:rFonts w:ascii="Helvetica" w:hAnsi="Helvetica"/>
          <w:sz w:val="20"/>
          <w:szCs w:val="20"/>
        </w:rPr>
      </w:pPr>
      <w:r>
        <w:rPr>
          <w:rFonts w:ascii="Helvetica" w:hAnsi="Helvetica"/>
          <w:sz w:val="20"/>
          <w:szCs w:val="20"/>
        </w:rPr>
        <w:t xml:space="preserve">Cette définition se fait depuis une nouvelle table dans l’administration Alma : Central Index dans la section </w:t>
      </w:r>
      <w:r w:rsidRPr="0010405D">
        <w:rPr>
          <w:rFonts w:ascii="Helvetica" w:hAnsi="Helvetica"/>
          <w:sz w:val="20"/>
          <w:szCs w:val="20"/>
        </w:rPr>
        <w:t>Logique d'affichage de l'interface de découverte</w:t>
      </w:r>
      <w:r>
        <w:rPr>
          <w:rFonts w:ascii="Helvetica" w:hAnsi="Helvetica"/>
          <w:sz w:val="20"/>
          <w:szCs w:val="20"/>
        </w:rPr>
        <w:t xml:space="preserve"> du menu des Services aux usagers. Ces préférences sont définies par fournisseur (et non par collection). Si la gestion des ressources électroniques est configurée séparément par bibliothèque ou campus, il convient de créer autant de profil qu’il y a d’entité afin de personnaliser ces préférences. Chacun, cependant, doit être associé à un compte CDI moyennant le renseignement de ses clé et identifiant client, qui peuvent être récupérés depuis Primo. </w:t>
      </w:r>
    </w:p>
    <w:p w:rsidR="00BB62F5" w:rsidRPr="00594E6E" w:rsidRDefault="00BB62F5" w:rsidP="00124C05">
      <w:pPr>
        <w:jc w:val="both"/>
        <w:rPr>
          <w:rFonts w:ascii="Helvetica" w:hAnsi="Helvetica"/>
          <w:sz w:val="20"/>
          <w:szCs w:val="20"/>
        </w:rPr>
      </w:pPr>
      <w:r>
        <w:rPr>
          <w:rFonts w:ascii="Helvetica" w:hAnsi="Helvetica"/>
          <w:sz w:val="20"/>
          <w:szCs w:val="20"/>
        </w:rPr>
        <w:t xml:space="preserve">Cette nouvelle fonction sera pleinement opérationnelle à partir du 7 décembre, une fois mis à jour CDI. </w:t>
      </w:r>
    </w:p>
    <w:sectPr w:rsidR="00BB62F5" w:rsidRPr="00594E6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6E" w:rsidRDefault="00A9096E" w:rsidP="0000222F">
      <w:pPr>
        <w:spacing w:after="0" w:line="240" w:lineRule="auto"/>
      </w:pPr>
      <w:r>
        <w:separator/>
      </w:r>
    </w:p>
  </w:endnote>
  <w:endnote w:type="continuationSeparator" w:id="0">
    <w:p w:rsidR="00A9096E" w:rsidRDefault="00A9096E"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Geneva">
    <w:panose1 w:val="020B050303040404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A9096E" w:rsidRDefault="00A9096E">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3E7AF0">
          <w:rPr>
            <w:rFonts w:ascii="Constantia" w:hAnsi="Constantia"/>
            <w:noProof/>
            <w:sz w:val="24"/>
          </w:rPr>
          <w:t>3</w:t>
        </w:r>
        <w:r w:rsidRPr="004B003B">
          <w:rPr>
            <w:rFonts w:ascii="Constantia" w:hAnsi="Constantia"/>
            <w:sz w:val="24"/>
          </w:rPr>
          <w:fldChar w:fldCharType="end"/>
        </w:r>
      </w:p>
    </w:sdtContent>
  </w:sdt>
  <w:p w:rsidR="00A9096E" w:rsidRPr="0000222F" w:rsidRDefault="00A9096E">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6E" w:rsidRDefault="00A9096E" w:rsidP="0000222F">
      <w:pPr>
        <w:spacing w:after="0" w:line="240" w:lineRule="auto"/>
      </w:pPr>
      <w:r>
        <w:separator/>
      </w:r>
    </w:p>
  </w:footnote>
  <w:footnote w:type="continuationSeparator" w:id="0">
    <w:p w:rsidR="00A9096E" w:rsidRDefault="00A9096E"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96E" w:rsidRDefault="00A9096E">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18529D5E" wp14:editId="346BD82B">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76FD3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541765">
          <w:rPr>
            <w:rFonts w:ascii="Constantia" w:hAnsi="Constantia"/>
            <w:color w:val="000000" w:themeColor="text1"/>
            <w:sz w:val="20"/>
            <w:szCs w:val="20"/>
          </w:rPr>
          <w:t>Note de version Primo – Quatrième trimestre 2022</w:t>
        </w:r>
      </w:sdtContent>
    </w:sdt>
  </w:p>
  <w:p w:rsidR="00A9096E" w:rsidRDefault="00A909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1B"/>
    <w:multiLevelType w:val="hybridMultilevel"/>
    <w:tmpl w:val="292A8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70EF7"/>
    <w:multiLevelType w:val="hybridMultilevel"/>
    <w:tmpl w:val="99B6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12F5F"/>
    <w:multiLevelType w:val="hybridMultilevel"/>
    <w:tmpl w:val="F49E1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52734F"/>
    <w:multiLevelType w:val="hybridMultilevel"/>
    <w:tmpl w:val="BBF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C03D1"/>
    <w:multiLevelType w:val="hybridMultilevel"/>
    <w:tmpl w:val="24461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3151E6"/>
    <w:multiLevelType w:val="hybridMultilevel"/>
    <w:tmpl w:val="778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AC1366"/>
    <w:multiLevelType w:val="hybridMultilevel"/>
    <w:tmpl w:val="AD86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F7ED1"/>
    <w:multiLevelType w:val="hybridMultilevel"/>
    <w:tmpl w:val="02A25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696C7E"/>
    <w:multiLevelType w:val="hybridMultilevel"/>
    <w:tmpl w:val="CFE2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6141C"/>
    <w:multiLevelType w:val="hybridMultilevel"/>
    <w:tmpl w:val="7A848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6570B1"/>
    <w:multiLevelType w:val="hybridMultilevel"/>
    <w:tmpl w:val="E66C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E64893"/>
    <w:multiLevelType w:val="hybridMultilevel"/>
    <w:tmpl w:val="0C1A8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0A2070"/>
    <w:multiLevelType w:val="hybridMultilevel"/>
    <w:tmpl w:val="FBDA62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D86396"/>
    <w:multiLevelType w:val="hybridMultilevel"/>
    <w:tmpl w:val="89609D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1B7523"/>
    <w:multiLevelType w:val="hybridMultilevel"/>
    <w:tmpl w:val="04B847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3268736E"/>
    <w:multiLevelType w:val="hybridMultilevel"/>
    <w:tmpl w:val="4D52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744ACE"/>
    <w:multiLevelType w:val="hybridMultilevel"/>
    <w:tmpl w:val="FAB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B1029C"/>
    <w:multiLevelType w:val="hybridMultilevel"/>
    <w:tmpl w:val="782CA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105117"/>
    <w:multiLevelType w:val="hybridMultilevel"/>
    <w:tmpl w:val="D7009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416FC6"/>
    <w:multiLevelType w:val="hybridMultilevel"/>
    <w:tmpl w:val="37367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73784F"/>
    <w:multiLevelType w:val="hybridMultilevel"/>
    <w:tmpl w:val="BCACBE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CE5A2A"/>
    <w:multiLevelType w:val="hybridMultilevel"/>
    <w:tmpl w:val="AEE8AA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17107"/>
    <w:multiLevelType w:val="hybridMultilevel"/>
    <w:tmpl w:val="B98E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D928D1"/>
    <w:multiLevelType w:val="hybridMultilevel"/>
    <w:tmpl w:val="24A8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8379CB"/>
    <w:multiLevelType w:val="hybridMultilevel"/>
    <w:tmpl w:val="47F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C84A72"/>
    <w:multiLevelType w:val="hybridMultilevel"/>
    <w:tmpl w:val="B5CCF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92777D"/>
    <w:multiLevelType w:val="hybridMultilevel"/>
    <w:tmpl w:val="AF38A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F60B65"/>
    <w:multiLevelType w:val="hybridMultilevel"/>
    <w:tmpl w:val="BC9055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AF0DFB"/>
    <w:multiLevelType w:val="hybridMultilevel"/>
    <w:tmpl w:val="02EEDF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662A85"/>
    <w:multiLevelType w:val="hybridMultilevel"/>
    <w:tmpl w:val="FBDCE3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A17E3B"/>
    <w:multiLevelType w:val="hybridMultilevel"/>
    <w:tmpl w:val="F8FEE8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323EBC"/>
    <w:multiLevelType w:val="hybridMultilevel"/>
    <w:tmpl w:val="D1F2E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4F6EFD"/>
    <w:multiLevelType w:val="hybridMultilevel"/>
    <w:tmpl w:val="6E40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EC7C29"/>
    <w:multiLevelType w:val="hybridMultilevel"/>
    <w:tmpl w:val="EB744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A16976"/>
    <w:multiLevelType w:val="hybridMultilevel"/>
    <w:tmpl w:val="57942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66328E"/>
    <w:multiLevelType w:val="hybridMultilevel"/>
    <w:tmpl w:val="6F2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227127"/>
    <w:multiLevelType w:val="hybridMultilevel"/>
    <w:tmpl w:val="5F5CA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EE3B93"/>
    <w:multiLevelType w:val="hybridMultilevel"/>
    <w:tmpl w:val="85BCF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692971"/>
    <w:multiLevelType w:val="hybridMultilevel"/>
    <w:tmpl w:val="06D4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9E4706"/>
    <w:multiLevelType w:val="hybridMultilevel"/>
    <w:tmpl w:val="E90AB6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3D6FA8"/>
    <w:multiLevelType w:val="hybridMultilevel"/>
    <w:tmpl w:val="95E2A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095D1A"/>
    <w:multiLevelType w:val="hybridMultilevel"/>
    <w:tmpl w:val="10782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E0166B"/>
    <w:multiLevelType w:val="hybridMultilevel"/>
    <w:tmpl w:val="6486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633771"/>
    <w:multiLevelType w:val="hybridMultilevel"/>
    <w:tmpl w:val="318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6D0C70"/>
    <w:multiLevelType w:val="hybridMultilevel"/>
    <w:tmpl w:val="8C16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8A7007"/>
    <w:multiLevelType w:val="hybridMultilevel"/>
    <w:tmpl w:val="14488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AA214C"/>
    <w:multiLevelType w:val="hybridMultilevel"/>
    <w:tmpl w:val="0B6CA3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num>
  <w:num w:numId="2">
    <w:abstractNumId w:val="42"/>
  </w:num>
  <w:num w:numId="3">
    <w:abstractNumId w:val="37"/>
  </w:num>
  <w:num w:numId="4">
    <w:abstractNumId w:val="15"/>
  </w:num>
  <w:num w:numId="5">
    <w:abstractNumId w:val="40"/>
  </w:num>
  <w:num w:numId="6">
    <w:abstractNumId w:val="34"/>
  </w:num>
  <w:num w:numId="7">
    <w:abstractNumId w:val="16"/>
  </w:num>
  <w:num w:numId="8">
    <w:abstractNumId w:val="20"/>
  </w:num>
  <w:num w:numId="9">
    <w:abstractNumId w:val="8"/>
  </w:num>
  <w:num w:numId="10">
    <w:abstractNumId w:val="45"/>
  </w:num>
  <w:num w:numId="11">
    <w:abstractNumId w:val="19"/>
  </w:num>
  <w:num w:numId="12">
    <w:abstractNumId w:val="41"/>
  </w:num>
  <w:num w:numId="13">
    <w:abstractNumId w:val="7"/>
  </w:num>
  <w:num w:numId="14">
    <w:abstractNumId w:val="24"/>
  </w:num>
  <w:num w:numId="15">
    <w:abstractNumId w:val="13"/>
  </w:num>
  <w:num w:numId="16">
    <w:abstractNumId w:val="22"/>
  </w:num>
  <w:num w:numId="17">
    <w:abstractNumId w:val="43"/>
  </w:num>
  <w:num w:numId="18">
    <w:abstractNumId w:val="14"/>
  </w:num>
  <w:num w:numId="19">
    <w:abstractNumId w:val="35"/>
  </w:num>
  <w:num w:numId="20">
    <w:abstractNumId w:val="46"/>
  </w:num>
  <w:num w:numId="21">
    <w:abstractNumId w:val="31"/>
  </w:num>
  <w:num w:numId="22">
    <w:abstractNumId w:val="44"/>
  </w:num>
  <w:num w:numId="23">
    <w:abstractNumId w:val="4"/>
  </w:num>
  <w:num w:numId="24">
    <w:abstractNumId w:val="10"/>
  </w:num>
  <w:num w:numId="25">
    <w:abstractNumId w:val="1"/>
  </w:num>
  <w:num w:numId="26">
    <w:abstractNumId w:val="5"/>
  </w:num>
  <w:num w:numId="27">
    <w:abstractNumId w:val="0"/>
  </w:num>
  <w:num w:numId="28">
    <w:abstractNumId w:val="6"/>
  </w:num>
  <w:num w:numId="29">
    <w:abstractNumId w:val="11"/>
  </w:num>
  <w:num w:numId="30">
    <w:abstractNumId w:val="9"/>
  </w:num>
  <w:num w:numId="31">
    <w:abstractNumId w:val="25"/>
  </w:num>
  <w:num w:numId="32">
    <w:abstractNumId w:val="18"/>
  </w:num>
  <w:num w:numId="33">
    <w:abstractNumId w:val="36"/>
  </w:num>
  <w:num w:numId="34">
    <w:abstractNumId w:val="23"/>
  </w:num>
  <w:num w:numId="35">
    <w:abstractNumId w:val="2"/>
  </w:num>
  <w:num w:numId="36">
    <w:abstractNumId w:val="32"/>
  </w:num>
  <w:num w:numId="37">
    <w:abstractNumId w:val="33"/>
  </w:num>
  <w:num w:numId="38">
    <w:abstractNumId w:val="17"/>
  </w:num>
  <w:num w:numId="39">
    <w:abstractNumId w:val="26"/>
  </w:num>
  <w:num w:numId="40">
    <w:abstractNumId w:val="38"/>
  </w:num>
  <w:num w:numId="41">
    <w:abstractNumId w:val="12"/>
  </w:num>
  <w:num w:numId="42">
    <w:abstractNumId w:val="29"/>
  </w:num>
  <w:num w:numId="43">
    <w:abstractNumId w:val="27"/>
  </w:num>
  <w:num w:numId="44">
    <w:abstractNumId w:val="28"/>
  </w:num>
  <w:num w:numId="45">
    <w:abstractNumId w:val="39"/>
  </w:num>
  <w:num w:numId="46">
    <w:abstractNumId w:val="30"/>
  </w:num>
  <w:num w:numId="4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0550"/>
    <w:rsid w:val="00014F96"/>
    <w:rsid w:val="00024F2F"/>
    <w:rsid w:val="00025E7E"/>
    <w:rsid w:val="0002750B"/>
    <w:rsid w:val="00036CBD"/>
    <w:rsid w:val="000401DE"/>
    <w:rsid w:val="00041564"/>
    <w:rsid w:val="000436C7"/>
    <w:rsid w:val="000511AD"/>
    <w:rsid w:val="000736F5"/>
    <w:rsid w:val="000C59D6"/>
    <w:rsid w:val="000D3C15"/>
    <w:rsid w:val="000D6D4E"/>
    <w:rsid w:val="000F4541"/>
    <w:rsid w:val="000F747B"/>
    <w:rsid w:val="0010457B"/>
    <w:rsid w:val="00105490"/>
    <w:rsid w:val="00111459"/>
    <w:rsid w:val="00112A0B"/>
    <w:rsid w:val="00113F0C"/>
    <w:rsid w:val="00117E9B"/>
    <w:rsid w:val="00120010"/>
    <w:rsid w:val="00124C05"/>
    <w:rsid w:val="00154F40"/>
    <w:rsid w:val="001635E4"/>
    <w:rsid w:val="001650B2"/>
    <w:rsid w:val="00172A1B"/>
    <w:rsid w:val="001A3C6C"/>
    <w:rsid w:val="001A709A"/>
    <w:rsid w:val="001B05AC"/>
    <w:rsid w:val="001B4C8A"/>
    <w:rsid w:val="001C37BA"/>
    <w:rsid w:val="001C53F4"/>
    <w:rsid w:val="001C5C24"/>
    <w:rsid w:val="001E03D0"/>
    <w:rsid w:val="001E0DF1"/>
    <w:rsid w:val="001E3A89"/>
    <w:rsid w:val="001F1B83"/>
    <w:rsid w:val="001F1BC0"/>
    <w:rsid w:val="0020526F"/>
    <w:rsid w:val="00214FC2"/>
    <w:rsid w:val="00245B9B"/>
    <w:rsid w:val="00261FDF"/>
    <w:rsid w:val="00270474"/>
    <w:rsid w:val="00272361"/>
    <w:rsid w:val="00274673"/>
    <w:rsid w:val="00275004"/>
    <w:rsid w:val="00285875"/>
    <w:rsid w:val="0029509B"/>
    <w:rsid w:val="002A70D3"/>
    <w:rsid w:val="002B010E"/>
    <w:rsid w:val="002B697B"/>
    <w:rsid w:val="002C4D55"/>
    <w:rsid w:val="002F1327"/>
    <w:rsid w:val="00321A9A"/>
    <w:rsid w:val="003224A7"/>
    <w:rsid w:val="0032429A"/>
    <w:rsid w:val="003251D8"/>
    <w:rsid w:val="00326913"/>
    <w:rsid w:val="003474A7"/>
    <w:rsid w:val="00361902"/>
    <w:rsid w:val="00364FCC"/>
    <w:rsid w:val="00365019"/>
    <w:rsid w:val="003A6502"/>
    <w:rsid w:val="003A762F"/>
    <w:rsid w:val="003C7234"/>
    <w:rsid w:val="003D3BED"/>
    <w:rsid w:val="003E38D0"/>
    <w:rsid w:val="003E5F2E"/>
    <w:rsid w:val="003E7AF0"/>
    <w:rsid w:val="003F402B"/>
    <w:rsid w:val="00415DFF"/>
    <w:rsid w:val="004206D0"/>
    <w:rsid w:val="00441B1F"/>
    <w:rsid w:val="00443F9F"/>
    <w:rsid w:val="0045797F"/>
    <w:rsid w:val="004673BE"/>
    <w:rsid w:val="004679EA"/>
    <w:rsid w:val="0047260A"/>
    <w:rsid w:val="00474B3A"/>
    <w:rsid w:val="0048554F"/>
    <w:rsid w:val="00486028"/>
    <w:rsid w:val="00486537"/>
    <w:rsid w:val="00491A58"/>
    <w:rsid w:val="00494A30"/>
    <w:rsid w:val="004A67C3"/>
    <w:rsid w:val="004A6BC9"/>
    <w:rsid w:val="004B003B"/>
    <w:rsid w:val="004B15E9"/>
    <w:rsid w:val="004B5E2C"/>
    <w:rsid w:val="004C2258"/>
    <w:rsid w:val="004D0282"/>
    <w:rsid w:val="004E50F5"/>
    <w:rsid w:val="005006D4"/>
    <w:rsid w:val="005007A3"/>
    <w:rsid w:val="005214E6"/>
    <w:rsid w:val="00524A5D"/>
    <w:rsid w:val="00535A67"/>
    <w:rsid w:val="005370F4"/>
    <w:rsid w:val="00540F8B"/>
    <w:rsid w:val="00541138"/>
    <w:rsid w:val="00541765"/>
    <w:rsid w:val="00541867"/>
    <w:rsid w:val="00550E1E"/>
    <w:rsid w:val="0055368B"/>
    <w:rsid w:val="005656F2"/>
    <w:rsid w:val="00573416"/>
    <w:rsid w:val="005772B3"/>
    <w:rsid w:val="00583BDD"/>
    <w:rsid w:val="00585D27"/>
    <w:rsid w:val="00590351"/>
    <w:rsid w:val="00594E6E"/>
    <w:rsid w:val="00597257"/>
    <w:rsid w:val="005A408F"/>
    <w:rsid w:val="005A4119"/>
    <w:rsid w:val="005C0361"/>
    <w:rsid w:val="005D2440"/>
    <w:rsid w:val="005D75FA"/>
    <w:rsid w:val="005E08E8"/>
    <w:rsid w:val="005E6A4B"/>
    <w:rsid w:val="006148A9"/>
    <w:rsid w:val="00636B65"/>
    <w:rsid w:val="00640F75"/>
    <w:rsid w:val="006432C4"/>
    <w:rsid w:val="00657179"/>
    <w:rsid w:val="00667421"/>
    <w:rsid w:val="00681DFC"/>
    <w:rsid w:val="00695988"/>
    <w:rsid w:val="006A720A"/>
    <w:rsid w:val="006B3C74"/>
    <w:rsid w:val="006B7860"/>
    <w:rsid w:val="006C5B78"/>
    <w:rsid w:val="006D01E6"/>
    <w:rsid w:val="006D416A"/>
    <w:rsid w:val="006E034F"/>
    <w:rsid w:val="006E6A8B"/>
    <w:rsid w:val="006E7392"/>
    <w:rsid w:val="006F79D3"/>
    <w:rsid w:val="00707575"/>
    <w:rsid w:val="00721C36"/>
    <w:rsid w:val="00721FB1"/>
    <w:rsid w:val="00727A4D"/>
    <w:rsid w:val="0073111C"/>
    <w:rsid w:val="00737F51"/>
    <w:rsid w:val="007423BA"/>
    <w:rsid w:val="00744D74"/>
    <w:rsid w:val="00763E4A"/>
    <w:rsid w:val="00764646"/>
    <w:rsid w:val="00784A00"/>
    <w:rsid w:val="00790225"/>
    <w:rsid w:val="00790F24"/>
    <w:rsid w:val="00791893"/>
    <w:rsid w:val="007A586E"/>
    <w:rsid w:val="007A5C14"/>
    <w:rsid w:val="007B4945"/>
    <w:rsid w:val="007C474D"/>
    <w:rsid w:val="007C768A"/>
    <w:rsid w:val="007C7B72"/>
    <w:rsid w:val="007E66B8"/>
    <w:rsid w:val="007E723C"/>
    <w:rsid w:val="007F1B48"/>
    <w:rsid w:val="00802C71"/>
    <w:rsid w:val="00805200"/>
    <w:rsid w:val="00810D2D"/>
    <w:rsid w:val="00813BFE"/>
    <w:rsid w:val="0082353A"/>
    <w:rsid w:val="00830066"/>
    <w:rsid w:val="0083132C"/>
    <w:rsid w:val="0083331E"/>
    <w:rsid w:val="008358D1"/>
    <w:rsid w:val="0083600F"/>
    <w:rsid w:val="00854DA3"/>
    <w:rsid w:val="0085687D"/>
    <w:rsid w:val="00861AD0"/>
    <w:rsid w:val="00880EF9"/>
    <w:rsid w:val="00887FB7"/>
    <w:rsid w:val="00892E14"/>
    <w:rsid w:val="00894A43"/>
    <w:rsid w:val="008A04F6"/>
    <w:rsid w:val="008B2251"/>
    <w:rsid w:val="008B4BE1"/>
    <w:rsid w:val="008B5D6E"/>
    <w:rsid w:val="008B6CE6"/>
    <w:rsid w:val="008C63D9"/>
    <w:rsid w:val="008D0540"/>
    <w:rsid w:val="008D5E7F"/>
    <w:rsid w:val="008D669B"/>
    <w:rsid w:val="00921EF0"/>
    <w:rsid w:val="0094099C"/>
    <w:rsid w:val="00952B8D"/>
    <w:rsid w:val="00957BB2"/>
    <w:rsid w:val="00961C39"/>
    <w:rsid w:val="00976C63"/>
    <w:rsid w:val="00984A2A"/>
    <w:rsid w:val="009868D5"/>
    <w:rsid w:val="0099021A"/>
    <w:rsid w:val="009922B4"/>
    <w:rsid w:val="00997C68"/>
    <w:rsid w:val="009B26B5"/>
    <w:rsid w:val="009B3819"/>
    <w:rsid w:val="009C0F47"/>
    <w:rsid w:val="009C2364"/>
    <w:rsid w:val="009C4F44"/>
    <w:rsid w:val="009D1495"/>
    <w:rsid w:val="009D22F1"/>
    <w:rsid w:val="009D4F3B"/>
    <w:rsid w:val="009D56DD"/>
    <w:rsid w:val="009D7D87"/>
    <w:rsid w:val="00A00E8B"/>
    <w:rsid w:val="00A032F5"/>
    <w:rsid w:val="00A20C95"/>
    <w:rsid w:val="00A30750"/>
    <w:rsid w:val="00A36325"/>
    <w:rsid w:val="00A51303"/>
    <w:rsid w:val="00A616A7"/>
    <w:rsid w:val="00A66992"/>
    <w:rsid w:val="00A66A2C"/>
    <w:rsid w:val="00A67D57"/>
    <w:rsid w:val="00A71F5F"/>
    <w:rsid w:val="00A75AC2"/>
    <w:rsid w:val="00A77C5E"/>
    <w:rsid w:val="00A830B5"/>
    <w:rsid w:val="00A86115"/>
    <w:rsid w:val="00A9096E"/>
    <w:rsid w:val="00A947DD"/>
    <w:rsid w:val="00A94C91"/>
    <w:rsid w:val="00AA2219"/>
    <w:rsid w:val="00AA52A5"/>
    <w:rsid w:val="00AB370E"/>
    <w:rsid w:val="00AD0E4D"/>
    <w:rsid w:val="00AF0106"/>
    <w:rsid w:val="00AF1418"/>
    <w:rsid w:val="00B06136"/>
    <w:rsid w:val="00B202CE"/>
    <w:rsid w:val="00B22555"/>
    <w:rsid w:val="00B25303"/>
    <w:rsid w:val="00B41004"/>
    <w:rsid w:val="00B43534"/>
    <w:rsid w:val="00B45BD6"/>
    <w:rsid w:val="00B62FD4"/>
    <w:rsid w:val="00B65AA3"/>
    <w:rsid w:val="00B7042F"/>
    <w:rsid w:val="00B733AC"/>
    <w:rsid w:val="00B9082F"/>
    <w:rsid w:val="00BB1113"/>
    <w:rsid w:val="00BB4679"/>
    <w:rsid w:val="00BB59D3"/>
    <w:rsid w:val="00BB62F5"/>
    <w:rsid w:val="00BD096F"/>
    <w:rsid w:val="00BD2AA4"/>
    <w:rsid w:val="00BD4AD5"/>
    <w:rsid w:val="00BD53C0"/>
    <w:rsid w:val="00BE5C50"/>
    <w:rsid w:val="00BF425D"/>
    <w:rsid w:val="00BF4759"/>
    <w:rsid w:val="00BF5A00"/>
    <w:rsid w:val="00C06A60"/>
    <w:rsid w:val="00C07835"/>
    <w:rsid w:val="00C357BA"/>
    <w:rsid w:val="00C36024"/>
    <w:rsid w:val="00C441E8"/>
    <w:rsid w:val="00C54E4F"/>
    <w:rsid w:val="00C61370"/>
    <w:rsid w:val="00C632B8"/>
    <w:rsid w:val="00C65FCD"/>
    <w:rsid w:val="00C7078F"/>
    <w:rsid w:val="00C72F09"/>
    <w:rsid w:val="00C771BF"/>
    <w:rsid w:val="00C86172"/>
    <w:rsid w:val="00C96FF6"/>
    <w:rsid w:val="00CA085C"/>
    <w:rsid w:val="00CA19C1"/>
    <w:rsid w:val="00CB7EB4"/>
    <w:rsid w:val="00CC11CF"/>
    <w:rsid w:val="00CD1F44"/>
    <w:rsid w:val="00CE1D11"/>
    <w:rsid w:val="00CF1D7F"/>
    <w:rsid w:val="00D015CD"/>
    <w:rsid w:val="00D24698"/>
    <w:rsid w:val="00D25941"/>
    <w:rsid w:val="00D26041"/>
    <w:rsid w:val="00D34BC5"/>
    <w:rsid w:val="00D36CF5"/>
    <w:rsid w:val="00D4164C"/>
    <w:rsid w:val="00D426EA"/>
    <w:rsid w:val="00D45973"/>
    <w:rsid w:val="00D50A0E"/>
    <w:rsid w:val="00D50E3E"/>
    <w:rsid w:val="00D70AEC"/>
    <w:rsid w:val="00D74046"/>
    <w:rsid w:val="00D75DC5"/>
    <w:rsid w:val="00DA5EAF"/>
    <w:rsid w:val="00DA6635"/>
    <w:rsid w:val="00DB33B9"/>
    <w:rsid w:val="00DB7EF8"/>
    <w:rsid w:val="00DC139F"/>
    <w:rsid w:val="00DC1426"/>
    <w:rsid w:val="00DC66AC"/>
    <w:rsid w:val="00DC7E6B"/>
    <w:rsid w:val="00DD1B82"/>
    <w:rsid w:val="00E0351C"/>
    <w:rsid w:val="00E07DCD"/>
    <w:rsid w:val="00E10427"/>
    <w:rsid w:val="00E122BD"/>
    <w:rsid w:val="00E171FB"/>
    <w:rsid w:val="00E26911"/>
    <w:rsid w:val="00E41225"/>
    <w:rsid w:val="00E53580"/>
    <w:rsid w:val="00E538CA"/>
    <w:rsid w:val="00E5653F"/>
    <w:rsid w:val="00E73D26"/>
    <w:rsid w:val="00E93B8F"/>
    <w:rsid w:val="00EA6047"/>
    <w:rsid w:val="00EA60EA"/>
    <w:rsid w:val="00EA6656"/>
    <w:rsid w:val="00EA7543"/>
    <w:rsid w:val="00EB4EBC"/>
    <w:rsid w:val="00EC0880"/>
    <w:rsid w:val="00EC6CA5"/>
    <w:rsid w:val="00ED2E77"/>
    <w:rsid w:val="00EE16BA"/>
    <w:rsid w:val="00EE6D01"/>
    <w:rsid w:val="00EF194F"/>
    <w:rsid w:val="00EF4F28"/>
    <w:rsid w:val="00F03C7A"/>
    <w:rsid w:val="00F07BFE"/>
    <w:rsid w:val="00F106C0"/>
    <w:rsid w:val="00F14E5C"/>
    <w:rsid w:val="00F22251"/>
    <w:rsid w:val="00F25316"/>
    <w:rsid w:val="00F2661B"/>
    <w:rsid w:val="00F35C24"/>
    <w:rsid w:val="00F3668E"/>
    <w:rsid w:val="00F60E80"/>
    <w:rsid w:val="00F63312"/>
    <w:rsid w:val="00F640D9"/>
    <w:rsid w:val="00F65ECE"/>
    <w:rsid w:val="00F670DA"/>
    <w:rsid w:val="00F76866"/>
    <w:rsid w:val="00F837A5"/>
    <w:rsid w:val="00F87D9B"/>
    <w:rsid w:val="00F95A14"/>
    <w:rsid w:val="00FB391E"/>
    <w:rsid w:val="00FC2455"/>
    <w:rsid w:val="00FC3200"/>
    <w:rsid w:val="00FC7650"/>
    <w:rsid w:val="00FD5AC0"/>
    <w:rsid w:val="00FD743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2271C81"/>
  <w15:chartTrackingRefBased/>
  <w15:docId w15:val="{2DCA8C80-498C-41C0-9ECA-01847C8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character" w:styleId="Lienhypertextesuivivisit">
    <w:name w:val="FollowedHyperlink"/>
    <w:basedOn w:val="Policepardfaut"/>
    <w:uiPriority w:val="99"/>
    <w:semiHidden/>
    <w:unhideWhenUsed/>
    <w:rsid w:val="008360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Primo/Release_Notes/Primo/2022/001Primo_2022_Release_Notes?mon=202211BA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Geneva">
    <w:panose1 w:val="020B050303040404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FF"/>
    <w:rsid w:val="00253EAA"/>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4E219-E9AB-45F0-BC17-22F37F84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631</Words>
  <Characters>3474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Note de version Primo – Quatrième trimestre 2022</vt:lpstr>
    </vt:vector>
  </TitlesOfParts>
  <Company>Microsoft</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Primo – Quatrième trimestre 2022</dc:title>
  <dc:subject/>
  <dc:creator>Loïc Ducasse</dc:creator>
  <cp:keywords/>
  <dc:description/>
  <cp:lastModifiedBy>Loic Ducasse</cp:lastModifiedBy>
  <cp:revision>5</cp:revision>
  <dcterms:created xsi:type="dcterms:W3CDTF">2022-11-25T16:05:00Z</dcterms:created>
  <dcterms:modified xsi:type="dcterms:W3CDTF">2022-11-25T17:08:00Z</dcterms:modified>
</cp:coreProperties>
</file>