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02443D">
        <w:rPr>
          <w:rStyle w:val="Emphaseple"/>
          <w:b/>
          <w:sz w:val="56"/>
        </w:rPr>
        <w:t>Troisième</w:t>
      </w:r>
      <w:r w:rsidR="00DC7E6B">
        <w:rPr>
          <w:rStyle w:val="Emphaseple"/>
          <w:b/>
          <w:sz w:val="56"/>
        </w:rPr>
        <w:t xml:space="preserve"> trimestre 2020</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DD0640" w:rsidRPr="00366DAF">
          <w:rPr>
            <w:rStyle w:val="Lienhypertexte"/>
            <w:rFonts w:ascii="Helvetica" w:hAnsi="Helvetica"/>
            <w:sz w:val="16"/>
            <w:szCs w:val="16"/>
          </w:rPr>
          <w:t>https://knowledge.exlibrisgroup.com/Primo/Release_Notes/Primo/2020/001Primo_2020_Release_Notes?mon=202004BASE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DD0640" w:rsidP="000923F2">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Accès à sa dernière recherche par QR code</w:t>
      </w:r>
    </w:p>
    <w:p w:rsidR="00FF5E46" w:rsidRDefault="00FF5E46" w:rsidP="000923F2">
      <w:pPr>
        <w:jc w:val="both"/>
      </w:pPr>
    </w:p>
    <w:p w:rsidR="00DD0640" w:rsidRDefault="00DD0640" w:rsidP="000923F2">
      <w:pPr>
        <w:jc w:val="both"/>
        <w:rPr>
          <w:rFonts w:ascii="Helvetica" w:hAnsi="Helvetica"/>
          <w:sz w:val="20"/>
        </w:rPr>
      </w:pPr>
      <w:r>
        <w:rPr>
          <w:rFonts w:ascii="Helvetica" w:hAnsi="Helvetica"/>
          <w:sz w:val="20"/>
        </w:rPr>
        <w:t>Le bouton « Historique », qui était disponible au niveau du bandeau supérieur, est remplacé par une icône QR code, qui permet d’accéder à sa dernière recherche en scannant un QR code généré par le système.</w:t>
      </w:r>
    </w:p>
    <w:p w:rsidR="00DD0640" w:rsidRDefault="00DD0640" w:rsidP="000923F2">
      <w:pPr>
        <w:jc w:val="center"/>
        <w:rPr>
          <w:rFonts w:ascii="Helvetica" w:hAnsi="Helvetica"/>
          <w:sz w:val="20"/>
        </w:rPr>
      </w:pPr>
      <w:r>
        <w:rPr>
          <w:rFonts w:ascii="Helvetica" w:hAnsi="Helvetica"/>
          <w:noProof/>
          <w:sz w:val="20"/>
          <w:lang w:eastAsia="fr-FR"/>
        </w:rPr>
        <w:drawing>
          <wp:inline distT="0" distB="0" distL="0" distR="0">
            <wp:extent cx="5760720" cy="5746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12-08_16382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574675"/>
                    </a:xfrm>
                    <a:prstGeom prst="rect">
                      <a:avLst/>
                    </a:prstGeom>
                  </pic:spPr>
                </pic:pic>
              </a:graphicData>
            </a:graphic>
          </wp:inline>
        </w:drawing>
      </w:r>
    </w:p>
    <w:p w:rsidR="00DD0640" w:rsidRDefault="00DD0640" w:rsidP="000923F2">
      <w:pPr>
        <w:jc w:val="center"/>
        <w:rPr>
          <w:rFonts w:ascii="Helvetica" w:hAnsi="Helvetica"/>
          <w:sz w:val="20"/>
        </w:rPr>
      </w:pPr>
      <w:r>
        <w:rPr>
          <w:rFonts w:ascii="Helvetica" w:hAnsi="Helvetica"/>
          <w:noProof/>
          <w:sz w:val="20"/>
          <w:lang w:eastAsia="fr-FR"/>
        </w:rPr>
        <w:drawing>
          <wp:inline distT="0" distB="0" distL="0" distR="0">
            <wp:extent cx="4047619" cy="3580952"/>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12-08_163844.png"/>
                    <pic:cNvPicPr/>
                  </pic:nvPicPr>
                  <pic:blipFill>
                    <a:blip r:embed="rId10">
                      <a:extLst>
                        <a:ext uri="{28A0092B-C50C-407E-A947-70E740481C1C}">
                          <a14:useLocalDpi xmlns:a14="http://schemas.microsoft.com/office/drawing/2010/main" val="0"/>
                        </a:ext>
                      </a:extLst>
                    </a:blip>
                    <a:stretch>
                      <a:fillRect/>
                    </a:stretch>
                  </pic:blipFill>
                  <pic:spPr>
                    <a:xfrm>
                      <a:off x="0" y="0"/>
                      <a:ext cx="4047619" cy="3580952"/>
                    </a:xfrm>
                    <a:prstGeom prst="rect">
                      <a:avLst/>
                    </a:prstGeom>
                  </pic:spPr>
                </pic:pic>
              </a:graphicData>
            </a:graphic>
          </wp:inline>
        </w:drawing>
      </w:r>
    </w:p>
    <w:p w:rsidR="00DD0640" w:rsidRDefault="00DD0640" w:rsidP="000923F2">
      <w:pPr>
        <w:jc w:val="center"/>
        <w:rPr>
          <w:rFonts w:ascii="Helvetica" w:hAnsi="Helvetica"/>
          <w:sz w:val="20"/>
        </w:rPr>
      </w:pPr>
      <w:r>
        <w:rPr>
          <w:rFonts w:ascii="Helvetica" w:hAnsi="Helvetica"/>
          <w:noProof/>
          <w:sz w:val="20"/>
          <w:lang w:eastAsia="fr-FR"/>
        </w:rPr>
        <w:lastRenderedPageBreak/>
        <w:drawing>
          <wp:inline distT="0" distB="0" distL="0" distR="0">
            <wp:extent cx="5760720" cy="29190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12-08_16402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919095"/>
                    </a:xfrm>
                    <a:prstGeom prst="rect">
                      <a:avLst/>
                    </a:prstGeom>
                  </pic:spPr>
                </pic:pic>
              </a:graphicData>
            </a:graphic>
          </wp:inline>
        </w:drawing>
      </w:r>
    </w:p>
    <w:p w:rsidR="00DD0640" w:rsidRDefault="00DD0640" w:rsidP="000923F2">
      <w:pPr>
        <w:jc w:val="both"/>
        <w:rPr>
          <w:rFonts w:ascii="Helvetica" w:hAnsi="Helvetica"/>
          <w:sz w:val="20"/>
        </w:rPr>
      </w:pPr>
    </w:p>
    <w:p w:rsidR="00DD0640" w:rsidRDefault="00DD0640" w:rsidP="000923F2">
      <w:pPr>
        <w:jc w:val="both"/>
        <w:rPr>
          <w:rFonts w:ascii="Helvetica" w:hAnsi="Helvetica"/>
          <w:sz w:val="20"/>
        </w:rPr>
      </w:pPr>
      <w:r>
        <w:rPr>
          <w:rFonts w:ascii="Helvetica" w:hAnsi="Helvetica"/>
          <w:sz w:val="20"/>
        </w:rPr>
        <w:t xml:space="preserve">Le bouton « Historique » reste accessible depuis le menu des services. </w:t>
      </w:r>
    </w:p>
    <w:p w:rsidR="00DD0640" w:rsidRDefault="00DD0640" w:rsidP="000923F2">
      <w:pPr>
        <w:jc w:val="center"/>
        <w:rPr>
          <w:rFonts w:ascii="Helvetica" w:hAnsi="Helvetica"/>
          <w:sz w:val="20"/>
        </w:rPr>
      </w:pPr>
      <w:r>
        <w:rPr>
          <w:rFonts w:ascii="Helvetica" w:hAnsi="Helvetica"/>
          <w:noProof/>
          <w:sz w:val="20"/>
          <w:lang w:eastAsia="fr-FR"/>
        </w:rPr>
        <w:drawing>
          <wp:inline distT="0" distB="0" distL="0" distR="0">
            <wp:extent cx="4371429" cy="345714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12-08_164137.png"/>
                    <pic:cNvPicPr/>
                  </pic:nvPicPr>
                  <pic:blipFill>
                    <a:blip r:embed="rId12">
                      <a:extLst>
                        <a:ext uri="{28A0092B-C50C-407E-A947-70E740481C1C}">
                          <a14:useLocalDpi xmlns:a14="http://schemas.microsoft.com/office/drawing/2010/main" val="0"/>
                        </a:ext>
                      </a:extLst>
                    </a:blip>
                    <a:stretch>
                      <a:fillRect/>
                    </a:stretch>
                  </pic:blipFill>
                  <pic:spPr>
                    <a:xfrm>
                      <a:off x="0" y="0"/>
                      <a:ext cx="4371429" cy="3457143"/>
                    </a:xfrm>
                    <a:prstGeom prst="rect">
                      <a:avLst/>
                    </a:prstGeom>
                  </pic:spPr>
                </pic:pic>
              </a:graphicData>
            </a:graphic>
          </wp:inline>
        </w:drawing>
      </w:r>
    </w:p>
    <w:p w:rsidR="00DD0640" w:rsidRDefault="00DD0640" w:rsidP="000923F2">
      <w:pPr>
        <w:jc w:val="both"/>
        <w:rPr>
          <w:rFonts w:ascii="Helvetica" w:hAnsi="Helvetica"/>
          <w:sz w:val="20"/>
        </w:rPr>
      </w:pPr>
      <w:r>
        <w:rPr>
          <w:rFonts w:ascii="Helvetica" w:hAnsi="Helvetica"/>
          <w:sz w:val="20"/>
        </w:rPr>
        <w:t xml:space="preserve">L’icône QR code peut être masquée pour toutes les vues ou pour celles qui le souhaitent. Dans ce cas, le bouton « Historique » est rétabli à sa place d’origine, tout en restant accessible depuis le menu des services. </w:t>
      </w:r>
    </w:p>
    <w:p w:rsidR="00DD0640" w:rsidRDefault="00DD0640" w:rsidP="000923F2">
      <w:pPr>
        <w:jc w:val="both"/>
        <w:rPr>
          <w:rFonts w:ascii="Helvetica" w:hAnsi="Helvetica"/>
          <w:sz w:val="20"/>
        </w:rPr>
      </w:pPr>
      <w:r>
        <w:rPr>
          <w:rFonts w:ascii="Helvetica" w:hAnsi="Helvetica"/>
          <w:sz w:val="20"/>
        </w:rPr>
        <w:t xml:space="preserve">Il est à noter que l’icône QR code sera affichée par défaut pour toutes les vues, lors de l’implémentation de la nouvelle version de Primo. </w:t>
      </w:r>
    </w:p>
    <w:bookmarkEnd w:id="0"/>
    <w:bookmarkEnd w:id="1"/>
    <w:p w:rsidR="00E53811" w:rsidRDefault="00E53811" w:rsidP="000923F2">
      <w:pPr>
        <w:jc w:val="both"/>
        <w:rPr>
          <w:rFonts w:ascii="Helvetica" w:hAnsi="Helvetica"/>
          <w:szCs w:val="20"/>
        </w:rPr>
      </w:pPr>
    </w:p>
    <w:p w:rsidR="00DD0640" w:rsidRDefault="00DD0640" w:rsidP="000923F2">
      <w:pPr>
        <w:jc w:val="both"/>
        <w:rPr>
          <w:rFonts w:ascii="Helvetica" w:hAnsi="Helvetica"/>
          <w:szCs w:val="20"/>
        </w:rPr>
      </w:pPr>
    </w:p>
    <w:p w:rsidR="00DD0640" w:rsidRDefault="000923F2" w:rsidP="000923F2">
      <w:pPr>
        <w:pStyle w:val="Titre1"/>
        <w:jc w:val="both"/>
        <w:rPr>
          <w:rFonts w:asciiTheme="minorHAnsi" w:hAnsiTheme="minorHAnsi"/>
          <w:color w:val="auto"/>
          <w:sz w:val="40"/>
          <w:szCs w:val="40"/>
        </w:rPr>
      </w:pPr>
      <w:r>
        <w:rPr>
          <w:rFonts w:asciiTheme="minorHAnsi" w:hAnsiTheme="minorHAnsi"/>
          <w:color w:val="auto"/>
          <w:sz w:val="40"/>
          <w:szCs w:val="40"/>
        </w:rPr>
        <w:lastRenderedPageBreak/>
        <w:t>Obtenir le lien d’une notice</w:t>
      </w:r>
      <w:r w:rsidR="00DD0640">
        <w:rPr>
          <w:rFonts w:asciiTheme="minorHAnsi" w:hAnsiTheme="minorHAnsi"/>
          <w:color w:val="auto"/>
          <w:sz w:val="40"/>
          <w:szCs w:val="40"/>
        </w:rPr>
        <w:t xml:space="preserve"> par QR code</w:t>
      </w:r>
    </w:p>
    <w:p w:rsidR="00DD0640" w:rsidRDefault="00DD0640" w:rsidP="000923F2">
      <w:pPr>
        <w:jc w:val="both"/>
      </w:pPr>
    </w:p>
    <w:p w:rsidR="000923F2" w:rsidRDefault="000923F2" w:rsidP="000923F2">
      <w:pPr>
        <w:jc w:val="both"/>
        <w:rPr>
          <w:rFonts w:ascii="Helvetica" w:hAnsi="Helvetica"/>
          <w:sz w:val="20"/>
        </w:rPr>
      </w:pPr>
      <w:r>
        <w:rPr>
          <w:rFonts w:ascii="Helvetica" w:hAnsi="Helvetica"/>
          <w:sz w:val="20"/>
        </w:rPr>
        <w:t xml:space="preserve">Le lien vers une notice peut être également obtenu par QR code depuis le menu des fonctions d’export. </w:t>
      </w:r>
    </w:p>
    <w:p w:rsidR="000923F2" w:rsidRDefault="000923F2" w:rsidP="000923F2">
      <w:pPr>
        <w:jc w:val="center"/>
        <w:rPr>
          <w:rFonts w:ascii="Helvetica" w:hAnsi="Helvetica"/>
          <w:sz w:val="20"/>
        </w:rPr>
      </w:pPr>
      <w:r>
        <w:rPr>
          <w:rFonts w:ascii="Helvetica" w:hAnsi="Helvetica"/>
          <w:noProof/>
          <w:sz w:val="20"/>
          <w:lang w:eastAsia="fr-FR"/>
        </w:rPr>
        <w:drawing>
          <wp:inline distT="0" distB="0" distL="0" distR="0">
            <wp:extent cx="5760720" cy="186309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0-12-08_1648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863090"/>
                    </a:xfrm>
                    <a:prstGeom prst="rect">
                      <a:avLst/>
                    </a:prstGeom>
                  </pic:spPr>
                </pic:pic>
              </a:graphicData>
            </a:graphic>
          </wp:inline>
        </w:drawing>
      </w:r>
    </w:p>
    <w:p w:rsidR="000923F2" w:rsidRDefault="000923F2" w:rsidP="000923F2">
      <w:pPr>
        <w:jc w:val="both"/>
        <w:rPr>
          <w:rFonts w:ascii="Helvetica" w:hAnsi="Helvetica"/>
          <w:sz w:val="20"/>
        </w:rPr>
      </w:pPr>
    </w:p>
    <w:p w:rsidR="000923F2" w:rsidRDefault="000923F2" w:rsidP="000923F2">
      <w:pPr>
        <w:jc w:val="center"/>
        <w:rPr>
          <w:rFonts w:ascii="Helvetica" w:hAnsi="Helvetica"/>
          <w:sz w:val="20"/>
        </w:rPr>
      </w:pPr>
      <w:r>
        <w:rPr>
          <w:rFonts w:ascii="Helvetica" w:hAnsi="Helvetica"/>
          <w:noProof/>
          <w:sz w:val="20"/>
          <w:lang w:eastAsia="fr-FR"/>
        </w:rPr>
        <w:drawing>
          <wp:inline distT="0" distB="0" distL="0" distR="0">
            <wp:extent cx="5760720" cy="2227580"/>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0-12-08_164834.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227580"/>
                    </a:xfrm>
                    <a:prstGeom prst="rect">
                      <a:avLst/>
                    </a:prstGeom>
                  </pic:spPr>
                </pic:pic>
              </a:graphicData>
            </a:graphic>
          </wp:inline>
        </w:drawing>
      </w:r>
    </w:p>
    <w:p w:rsidR="00DD0640" w:rsidRDefault="00DD0640" w:rsidP="000923F2">
      <w:pPr>
        <w:jc w:val="both"/>
        <w:rPr>
          <w:rFonts w:ascii="Helvetica" w:hAnsi="Helvetica"/>
          <w:sz w:val="20"/>
        </w:rPr>
      </w:pPr>
      <w:r>
        <w:rPr>
          <w:rFonts w:ascii="Helvetica" w:hAnsi="Helvetica"/>
          <w:sz w:val="20"/>
        </w:rPr>
        <w:t xml:space="preserve"> </w:t>
      </w:r>
    </w:p>
    <w:p w:rsidR="000923F2" w:rsidRDefault="000923F2" w:rsidP="000923F2">
      <w:pPr>
        <w:jc w:val="both"/>
        <w:rPr>
          <w:rFonts w:ascii="Helvetica" w:hAnsi="Helvetica"/>
          <w:sz w:val="20"/>
        </w:rPr>
      </w:pPr>
      <w:r>
        <w:rPr>
          <w:rFonts w:ascii="Helvetica" w:hAnsi="Helvetica"/>
          <w:sz w:val="20"/>
        </w:rPr>
        <w:t xml:space="preserve">L’affichage de cette fonction est possible pour toutes les vues ou pour celles qui le souhaitent. Par défaut, cette fonction ne sera affichée sur aucune vue lors de l’implémentation de la nouvelle version de Primo. </w:t>
      </w:r>
    </w:p>
    <w:p w:rsidR="00BA5879" w:rsidRDefault="00BA5879" w:rsidP="000923F2">
      <w:pPr>
        <w:jc w:val="both"/>
        <w:rPr>
          <w:rFonts w:ascii="Helvetica" w:hAnsi="Helvetica"/>
          <w:sz w:val="20"/>
        </w:rPr>
      </w:pPr>
    </w:p>
    <w:p w:rsidR="00BA5879" w:rsidRDefault="00BA5879" w:rsidP="000923F2">
      <w:pPr>
        <w:jc w:val="both"/>
        <w:rPr>
          <w:rFonts w:ascii="Helvetica" w:hAnsi="Helvetica"/>
          <w:sz w:val="20"/>
        </w:rPr>
      </w:pPr>
    </w:p>
    <w:p w:rsidR="00BA5879" w:rsidRDefault="00BA5879" w:rsidP="00BA5879">
      <w:pPr>
        <w:pStyle w:val="Titre1"/>
        <w:jc w:val="both"/>
        <w:rPr>
          <w:rFonts w:asciiTheme="minorHAnsi" w:hAnsiTheme="minorHAnsi"/>
          <w:color w:val="auto"/>
          <w:sz w:val="40"/>
          <w:szCs w:val="40"/>
        </w:rPr>
      </w:pPr>
      <w:r>
        <w:rPr>
          <w:rFonts w:asciiTheme="minorHAnsi" w:hAnsiTheme="minorHAnsi"/>
          <w:color w:val="auto"/>
          <w:sz w:val="40"/>
          <w:szCs w:val="40"/>
        </w:rPr>
        <w:t>Modifications de contrastes</w:t>
      </w:r>
    </w:p>
    <w:p w:rsidR="00BA5879" w:rsidRDefault="00BA5879" w:rsidP="00BA5879">
      <w:pPr>
        <w:jc w:val="both"/>
      </w:pPr>
    </w:p>
    <w:p w:rsidR="00BA5879" w:rsidRDefault="00BA5879" w:rsidP="00BA5879">
      <w:pPr>
        <w:jc w:val="both"/>
        <w:rPr>
          <w:rFonts w:ascii="Helvetica" w:hAnsi="Helvetica"/>
          <w:sz w:val="20"/>
        </w:rPr>
      </w:pPr>
      <w:r>
        <w:rPr>
          <w:rFonts w:ascii="Helvetica" w:hAnsi="Helvetica"/>
          <w:sz w:val="20"/>
        </w:rPr>
        <w:t xml:space="preserve">Afin d’améliorer l’accessibilité de son interface, Ex </w:t>
      </w:r>
      <w:proofErr w:type="spellStart"/>
      <w:r>
        <w:rPr>
          <w:rFonts w:ascii="Helvetica" w:hAnsi="Helvetica"/>
          <w:sz w:val="20"/>
        </w:rPr>
        <w:t>Libris</w:t>
      </w:r>
      <w:proofErr w:type="spellEnd"/>
      <w:r>
        <w:rPr>
          <w:rFonts w:ascii="Helvetica" w:hAnsi="Helvetica"/>
          <w:sz w:val="20"/>
        </w:rPr>
        <w:t xml:space="preserve"> a procédé à une accentuation des contrastes de couleurs. L’utilisation d’une interface personnalisée atténue certains de ces changements, ce qui rendra nécessaire leur adaptation à la feuille de style utilisée localement. </w:t>
      </w:r>
    </w:p>
    <w:p w:rsidR="00BA5879" w:rsidRDefault="00BA5879" w:rsidP="00BA5879">
      <w:pPr>
        <w:jc w:val="both"/>
        <w:rPr>
          <w:rFonts w:ascii="Helvetica" w:hAnsi="Helvetica"/>
          <w:szCs w:val="20"/>
        </w:rPr>
      </w:pPr>
      <w:r>
        <w:rPr>
          <w:rFonts w:ascii="Helvetica" w:hAnsi="Helvetica"/>
          <w:noProof/>
          <w:szCs w:val="20"/>
          <w:lang w:eastAsia="fr-FR"/>
        </w:rPr>
        <w:drawing>
          <wp:inline distT="0" distB="0" distL="0" distR="0">
            <wp:extent cx="5760720" cy="21062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09_1138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106295"/>
                    </a:xfrm>
                    <a:prstGeom prst="rect">
                      <a:avLst/>
                    </a:prstGeom>
                  </pic:spPr>
                </pic:pic>
              </a:graphicData>
            </a:graphic>
          </wp:inline>
        </w:drawing>
      </w:r>
    </w:p>
    <w:p w:rsidR="00BA5879" w:rsidRDefault="00BA5879" w:rsidP="00BA5879">
      <w:pPr>
        <w:jc w:val="both"/>
        <w:rPr>
          <w:rFonts w:ascii="Helvetica" w:hAnsi="Helvetica"/>
          <w:szCs w:val="20"/>
        </w:rPr>
      </w:pPr>
    </w:p>
    <w:p w:rsidR="00BA5879" w:rsidRDefault="00BA5879" w:rsidP="00BA5879">
      <w:pPr>
        <w:jc w:val="both"/>
        <w:rPr>
          <w:rFonts w:ascii="Helvetica" w:hAnsi="Helvetica"/>
          <w:szCs w:val="20"/>
        </w:rPr>
      </w:pPr>
      <w:r>
        <w:rPr>
          <w:rFonts w:ascii="Helvetica" w:hAnsi="Helvetica"/>
          <w:szCs w:val="20"/>
        </w:rPr>
        <w:t>Au lieu de</w:t>
      </w:r>
    </w:p>
    <w:p w:rsidR="00BA5879" w:rsidRDefault="00BA5879" w:rsidP="00BA5879">
      <w:pPr>
        <w:jc w:val="both"/>
        <w:rPr>
          <w:rFonts w:ascii="Helvetica" w:hAnsi="Helvetica"/>
          <w:szCs w:val="20"/>
        </w:rPr>
      </w:pPr>
      <w:r>
        <w:rPr>
          <w:rFonts w:ascii="Helvetica" w:hAnsi="Helvetica"/>
          <w:noProof/>
          <w:szCs w:val="20"/>
          <w:lang w:eastAsia="fr-FR"/>
        </w:rPr>
        <w:drawing>
          <wp:inline distT="0" distB="0" distL="0" distR="0">
            <wp:extent cx="5760720" cy="20313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2-09_11400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031365"/>
                    </a:xfrm>
                    <a:prstGeom prst="rect">
                      <a:avLst/>
                    </a:prstGeom>
                  </pic:spPr>
                </pic:pic>
              </a:graphicData>
            </a:graphic>
          </wp:inline>
        </w:drawing>
      </w:r>
    </w:p>
    <w:p w:rsidR="00BA5879" w:rsidRDefault="00BA5879" w:rsidP="00BA5879">
      <w:pPr>
        <w:jc w:val="both"/>
        <w:rPr>
          <w:rFonts w:ascii="Helvetica" w:hAnsi="Helvetica"/>
          <w:szCs w:val="20"/>
        </w:rPr>
      </w:pPr>
    </w:p>
    <w:p w:rsidR="00BA5879" w:rsidRDefault="00BA5879" w:rsidP="00BA5879">
      <w:pPr>
        <w:jc w:val="both"/>
        <w:rPr>
          <w:rFonts w:ascii="Helvetica" w:hAnsi="Helvetica"/>
          <w:szCs w:val="20"/>
        </w:rPr>
      </w:pPr>
      <w:r>
        <w:rPr>
          <w:rFonts w:ascii="Helvetica" w:hAnsi="Helvetica"/>
          <w:noProof/>
          <w:szCs w:val="20"/>
          <w:lang w:eastAsia="fr-FR"/>
        </w:rPr>
        <w:drawing>
          <wp:inline distT="0" distB="0" distL="0" distR="0">
            <wp:extent cx="5419048" cy="3542857"/>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12-09_114038.png"/>
                    <pic:cNvPicPr/>
                  </pic:nvPicPr>
                  <pic:blipFill>
                    <a:blip r:embed="rId17">
                      <a:extLst>
                        <a:ext uri="{28A0092B-C50C-407E-A947-70E740481C1C}">
                          <a14:useLocalDpi xmlns:a14="http://schemas.microsoft.com/office/drawing/2010/main" val="0"/>
                        </a:ext>
                      </a:extLst>
                    </a:blip>
                    <a:stretch>
                      <a:fillRect/>
                    </a:stretch>
                  </pic:blipFill>
                  <pic:spPr>
                    <a:xfrm>
                      <a:off x="0" y="0"/>
                      <a:ext cx="5419048" cy="3542857"/>
                    </a:xfrm>
                    <a:prstGeom prst="rect">
                      <a:avLst/>
                    </a:prstGeom>
                  </pic:spPr>
                </pic:pic>
              </a:graphicData>
            </a:graphic>
          </wp:inline>
        </w:drawing>
      </w:r>
    </w:p>
    <w:p w:rsidR="00BA5879" w:rsidRDefault="00BA5879" w:rsidP="00BA5879">
      <w:pPr>
        <w:jc w:val="both"/>
        <w:rPr>
          <w:rFonts w:ascii="Helvetica" w:hAnsi="Helvetica"/>
          <w:szCs w:val="20"/>
        </w:rPr>
      </w:pPr>
      <w:r>
        <w:rPr>
          <w:rFonts w:ascii="Helvetica" w:hAnsi="Helvetica"/>
          <w:szCs w:val="20"/>
        </w:rPr>
        <w:t xml:space="preserve">Au lieu de : </w:t>
      </w:r>
    </w:p>
    <w:p w:rsidR="00BA5879" w:rsidRPr="00681DFC" w:rsidRDefault="00BA5879" w:rsidP="00BA5879">
      <w:pPr>
        <w:jc w:val="both"/>
        <w:rPr>
          <w:rFonts w:ascii="Helvetica" w:hAnsi="Helvetica"/>
          <w:szCs w:val="20"/>
        </w:rPr>
      </w:pPr>
      <w:bookmarkStart w:id="2" w:name="_GoBack"/>
      <w:r>
        <w:rPr>
          <w:rFonts w:ascii="Helvetica" w:hAnsi="Helvetica"/>
          <w:noProof/>
          <w:szCs w:val="20"/>
          <w:lang w:eastAsia="fr-FR"/>
        </w:rPr>
        <w:drawing>
          <wp:inline distT="0" distB="0" distL="0" distR="0">
            <wp:extent cx="5571429" cy="3523809"/>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12-09_114056.png"/>
                    <pic:cNvPicPr/>
                  </pic:nvPicPr>
                  <pic:blipFill>
                    <a:blip r:embed="rId18">
                      <a:extLst>
                        <a:ext uri="{28A0092B-C50C-407E-A947-70E740481C1C}">
                          <a14:useLocalDpi xmlns:a14="http://schemas.microsoft.com/office/drawing/2010/main" val="0"/>
                        </a:ext>
                      </a:extLst>
                    </a:blip>
                    <a:stretch>
                      <a:fillRect/>
                    </a:stretch>
                  </pic:blipFill>
                  <pic:spPr>
                    <a:xfrm>
                      <a:off x="0" y="0"/>
                      <a:ext cx="5571429" cy="3523809"/>
                    </a:xfrm>
                    <a:prstGeom prst="rect">
                      <a:avLst/>
                    </a:prstGeom>
                  </pic:spPr>
                </pic:pic>
              </a:graphicData>
            </a:graphic>
          </wp:inline>
        </w:drawing>
      </w:r>
      <w:bookmarkEnd w:id="2"/>
    </w:p>
    <w:sectPr w:rsidR="00BA5879" w:rsidRPr="00681DF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BA5879">
          <w:rPr>
            <w:rFonts w:ascii="Constantia" w:hAnsi="Constantia"/>
            <w:noProof/>
            <w:sz w:val="24"/>
          </w:rPr>
          <w:t>5</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DD0640">
          <w:rPr>
            <w:rFonts w:ascii="Constantia" w:hAnsi="Constantia"/>
            <w:color w:val="000000" w:themeColor="text1"/>
            <w:sz w:val="20"/>
            <w:szCs w:val="20"/>
          </w:rPr>
          <w:t>Note de version Primo – Quatrième trimestre 2020</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420820"/>
    <w:multiLevelType w:val="hybridMultilevel"/>
    <w:tmpl w:val="AB58D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7"/>
  </w:num>
  <w:num w:numId="3">
    <w:abstractNumId w:val="33"/>
  </w:num>
  <w:num w:numId="4">
    <w:abstractNumId w:val="15"/>
  </w:num>
  <w:num w:numId="5">
    <w:abstractNumId w:val="35"/>
  </w:num>
  <w:num w:numId="6">
    <w:abstractNumId w:val="30"/>
  </w:num>
  <w:num w:numId="7">
    <w:abstractNumId w:val="16"/>
  </w:num>
  <w:num w:numId="8">
    <w:abstractNumId w:val="20"/>
  </w:num>
  <w:num w:numId="9">
    <w:abstractNumId w:val="8"/>
  </w:num>
  <w:num w:numId="10">
    <w:abstractNumId w:val="40"/>
  </w:num>
  <w:num w:numId="11">
    <w:abstractNumId w:val="19"/>
  </w:num>
  <w:num w:numId="12">
    <w:abstractNumId w:val="36"/>
  </w:num>
  <w:num w:numId="13">
    <w:abstractNumId w:val="7"/>
  </w:num>
  <w:num w:numId="14">
    <w:abstractNumId w:val="24"/>
  </w:num>
  <w:num w:numId="15">
    <w:abstractNumId w:val="13"/>
  </w:num>
  <w:num w:numId="16">
    <w:abstractNumId w:val="22"/>
  </w:num>
  <w:num w:numId="17">
    <w:abstractNumId w:val="38"/>
  </w:num>
  <w:num w:numId="18">
    <w:abstractNumId w:val="14"/>
  </w:num>
  <w:num w:numId="19">
    <w:abstractNumId w:val="31"/>
  </w:num>
  <w:num w:numId="20">
    <w:abstractNumId w:val="41"/>
  </w:num>
  <w:num w:numId="21">
    <w:abstractNumId w:val="27"/>
  </w:num>
  <w:num w:numId="22">
    <w:abstractNumId w:val="39"/>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5"/>
  </w:num>
  <w:num w:numId="32">
    <w:abstractNumId w:val="18"/>
  </w:num>
  <w:num w:numId="33">
    <w:abstractNumId w:val="32"/>
  </w:num>
  <w:num w:numId="34">
    <w:abstractNumId w:val="23"/>
  </w:num>
  <w:num w:numId="35">
    <w:abstractNumId w:val="2"/>
  </w:num>
  <w:num w:numId="36">
    <w:abstractNumId w:val="28"/>
  </w:num>
  <w:num w:numId="37">
    <w:abstractNumId w:val="29"/>
  </w:num>
  <w:num w:numId="38">
    <w:abstractNumId w:val="17"/>
  </w:num>
  <w:num w:numId="39">
    <w:abstractNumId w:val="26"/>
  </w:num>
  <w:num w:numId="40">
    <w:abstractNumId w:val="34"/>
  </w:num>
  <w:num w:numId="41">
    <w:abstractNumId w:val="12"/>
  </w:num>
  <w:num w:numId="4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43D"/>
    <w:rsid w:val="00024F2F"/>
    <w:rsid w:val="00025E7E"/>
    <w:rsid w:val="0002750B"/>
    <w:rsid w:val="00036CBD"/>
    <w:rsid w:val="000401DE"/>
    <w:rsid w:val="00041564"/>
    <w:rsid w:val="000511AD"/>
    <w:rsid w:val="000736F5"/>
    <w:rsid w:val="000923F2"/>
    <w:rsid w:val="000C59D6"/>
    <w:rsid w:val="000D3C15"/>
    <w:rsid w:val="000D6D4E"/>
    <w:rsid w:val="000F4541"/>
    <w:rsid w:val="000F747B"/>
    <w:rsid w:val="0010457B"/>
    <w:rsid w:val="00105490"/>
    <w:rsid w:val="00111459"/>
    <w:rsid w:val="00112A0B"/>
    <w:rsid w:val="00113F0C"/>
    <w:rsid w:val="00117E9B"/>
    <w:rsid w:val="00120010"/>
    <w:rsid w:val="001650B2"/>
    <w:rsid w:val="00172A1B"/>
    <w:rsid w:val="001C53F4"/>
    <w:rsid w:val="001E03D0"/>
    <w:rsid w:val="001E3A89"/>
    <w:rsid w:val="001F1B83"/>
    <w:rsid w:val="001F1BC0"/>
    <w:rsid w:val="0020526F"/>
    <w:rsid w:val="00214FC2"/>
    <w:rsid w:val="00225BEA"/>
    <w:rsid w:val="00245B9B"/>
    <w:rsid w:val="00261FDF"/>
    <w:rsid w:val="00270474"/>
    <w:rsid w:val="00272361"/>
    <w:rsid w:val="00274673"/>
    <w:rsid w:val="00275004"/>
    <w:rsid w:val="00285875"/>
    <w:rsid w:val="0029509B"/>
    <w:rsid w:val="002A70D3"/>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D0282"/>
    <w:rsid w:val="004E50F5"/>
    <w:rsid w:val="005007A3"/>
    <w:rsid w:val="005214E6"/>
    <w:rsid w:val="00524A5D"/>
    <w:rsid w:val="00535A67"/>
    <w:rsid w:val="005370F4"/>
    <w:rsid w:val="00540F8B"/>
    <w:rsid w:val="00541138"/>
    <w:rsid w:val="00550E1E"/>
    <w:rsid w:val="00550E79"/>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222BF"/>
    <w:rsid w:val="00636B65"/>
    <w:rsid w:val="00640F75"/>
    <w:rsid w:val="006432C4"/>
    <w:rsid w:val="00657179"/>
    <w:rsid w:val="00681DFC"/>
    <w:rsid w:val="00695988"/>
    <w:rsid w:val="00697EEE"/>
    <w:rsid w:val="006B3C74"/>
    <w:rsid w:val="006B7860"/>
    <w:rsid w:val="006C5B78"/>
    <w:rsid w:val="006D416A"/>
    <w:rsid w:val="006F79D3"/>
    <w:rsid w:val="00707575"/>
    <w:rsid w:val="00721C36"/>
    <w:rsid w:val="00721FB1"/>
    <w:rsid w:val="00727A4D"/>
    <w:rsid w:val="0073111C"/>
    <w:rsid w:val="00737F51"/>
    <w:rsid w:val="007423BA"/>
    <w:rsid w:val="00744D74"/>
    <w:rsid w:val="00763E4A"/>
    <w:rsid w:val="00764646"/>
    <w:rsid w:val="00784A00"/>
    <w:rsid w:val="00790F24"/>
    <w:rsid w:val="00791893"/>
    <w:rsid w:val="007A586E"/>
    <w:rsid w:val="007A5C14"/>
    <w:rsid w:val="007B4945"/>
    <w:rsid w:val="007C474D"/>
    <w:rsid w:val="007E723C"/>
    <w:rsid w:val="007F1B48"/>
    <w:rsid w:val="00802C71"/>
    <w:rsid w:val="00805200"/>
    <w:rsid w:val="00813BFE"/>
    <w:rsid w:val="0082353A"/>
    <w:rsid w:val="00830066"/>
    <w:rsid w:val="0083132C"/>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8E2B5E"/>
    <w:rsid w:val="00921EF0"/>
    <w:rsid w:val="0094099C"/>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51303"/>
    <w:rsid w:val="00A616A7"/>
    <w:rsid w:val="00A66992"/>
    <w:rsid w:val="00A75AC2"/>
    <w:rsid w:val="00A77C5E"/>
    <w:rsid w:val="00A830B5"/>
    <w:rsid w:val="00A9096E"/>
    <w:rsid w:val="00AA2219"/>
    <w:rsid w:val="00AA52A5"/>
    <w:rsid w:val="00AD0E4D"/>
    <w:rsid w:val="00AF0106"/>
    <w:rsid w:val="00AF1418"/>
    <w:rsid w:val="00B202CE"/>
    <w:rsid w:val="00B22555"/>
    <w:rsid w:val="00B25303"/>
    <w:rsid w:val="00B43534"/>
    <w:rsid w:val="00B45BD6"/>
    <w:rsid w:val="00B62FD4"/>
    <w:rsid w:val="00B65AA3"/>
    <w:rsid w:val="00B7042F"/>
    <w:rsid w:val="00B733AC"/>
    <w:rsid w:val="00B9082F"/>
    <w:rsid w:val="00BA5879"/>
    <w:rsid w:val="00BB1113"/>
    <w:rsid w:val="00BB4679"/>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B33B9"/>
    <w:rsid w:val="00DB7EF8"/>
    <w:rsid w:val="00DC139F"/>
    <w:rsid w:val="00DC1426"/>
    <w:rsid w:val="00DC66AC"/>
    <w:rsid w:val="00DC7E6B"/>
    <w:rsid w:val="00DD0640"/>
    <w:rsid w:val="00DD1B82"/>
    <w:rsid w:val="00E0351C"/>
    <w:rsid w:val="00E07DCD"/>
    <w:rsid w:val="00E10427"/>
    <w:rsid w:val="00E122BD"/>
    <w:rsid w:val="00E171FB"/>
    <w:rsid w:val="00E26911"/>
    <w:rsid w:val="00E41225"/>
    <w:rsid w:val="00E53580"/>
    <w:rsid w:val="00E53811"/>
    <w:rsid w:val="00E538CA"/>
    <w:rsid w:val="00E5653F"/>
    <w:rsid w:val="00E73D26"/>
    <w:rsid w:val="00E93B8F"/>
    <w:rsid w:val="00EA6047"/>
    <w:rsid w:val="00EA60EA"/>
    <w:rsid w:val="00EA6656"/>
    <w:rsid w:val="00EA7543"/>
    <w:rsid w:val="00EB4EBC"/>
    <w:rsid w:val="00EC0880"/>
    <w:rsid w:val="00EC6CA5"/>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D4EAF0"/>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0/001Primo_2020_Release_Notes?mon=202004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B586-CC83-4786-8865-027C937F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Note de version Primo – Quatrième trimestre 2020</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Quatrième trimestre 2020</dc:title>
  <dc:subject/>
  <dc:creator>Loïc Ducasse</dc:creator>
  <cp:keywords/>
  <dc:description/>
  <cp:lastModifiedBy>Loic Ducasse</cp:lastModifiedBy>
  <cp:revision>4</cp:revision>
  <dcterms:created xsi:type="dcterms:W3CDTF">2020-12-08T15:34:00Z</dcterms:created>
  <dcterms:modified xsi:type="dcterms:W3CDTF">2020-12-09T11:10:00Z</dcterms:modified>
</cp:coreProperties>
</file>