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B4" w:rsidRPr="0000222F" w:rsidRDefault="00117E9B" w:rsidP="0000222F">
      <w:pPr>
        <w:pStyle w:val="Citationintense"/>
        <w:rPr>
          <w:rStyle w:val="Emphaseple"/>
          <w:b/>
          <w:sz w:val="56"/>
        </w:rPr>
      </w:pPr>
      <w:bookmarkStart w:id="0" w:name="_GoBack"/>
      <w:bookmarkEnd w:id="0"/>
      <w:r>
        <w:rPr>
          <w:rStyle w:val="Emphaseple"/>
          <w:b/>
          <w:sz w:val="56"/>
        </w:rPr>
        <w:t xml:space="preserve">Note de version </w:t>
      </w:r>
      <w:r w:rsidR="00245B9B">
        <w:rPr>
          <w:rStyle w:val="Emphaseple"/>
          <w:b/>
          <w:sz w:val="56"/>
        </w:rPr>
        <w:t>Primo</w:t>
      </w:r>
      <w:r>
        <w:rPr>
          <w:rStyle w:val="Emphaseple"/>
          <w:b/>
          <w:sz w:val="56"/>
        </w:rPr>
        <w:t xml:space="preserve"> –</w:t>
      </w:r>
      <w:r w:rsidR="00B62FD4">
        <w:rPr>
          <w:rStyle w:val="Emphaseple"/>
          <w:b/>
          <w:sz w:val="56"/>
        </w:rPr>
        <w:t xml:space="preserve">  </w:t>
      </w:r>
      <w:r>
        <w:rPr>
          <w:rStyle w:val="Emphaseple"/>
          <w:b/>
          <w:sz w:val="56"/>
        </w:rPr>
        <w:t xml:space="preserve"> </w:t>
      </w:r>
      <w:r w:rsidR="00245B9B">
        <w:rPr>
          <w:rStyle w:val="Emphaseple"/>
          <w:b/>
          <w:sz w:val="56"/>
        </w:rPr>
        <w:t>Premier trimestre 2019</w:t>
      </w:r>
    </w:p>
    <w:p w:rsidR="004B003B" w:rsidRDefault="004B003B" w:rsidP="004B003B"/>
    <w:p w:rsidR="009868D5" w:rsidRPr="00270474" w:rsidRDefault="009868D5" w:rsidP="004B003B">
      <w:pPr>
        <w:rPr>
          <w:rFonts w:ascii="Helvetica" w:hAnsi="Helvetica" w:cs="Helvetica"/>
          <w:sz w:val="16"/>
          <w:szCs w:val="16"/>
        </w:rPr>
      </w:pPr>
      <w:r w:rsidRPr="00270474">
        <w:rPr>
          <w:rFonts w:ascii="Helvetica" w:hAnsi="Helvetica" w:cs="Helvetica"/>
          <w:sz w:val="16"/>
          <w:szCs w:val="16"/>
        </w:rPr>
        <w:t xml:space="preserve">Source : </w:t>
      </w:r>
      <w:hyperlink r:id="rId8" w:history="1">
        <w:r w:rsidR="00245B9B" w:rsidRPr="00245B9B">
          <w:rPr>
            <w:rStyle w:val="Lienhypertexte"/>
            <w:rFonts w:ascii="Helvetica" w:hAnsi="Helvetica"/>
            <w:sz w:val="16"/>
            <w:szCs w:val="16"/>
          </w:rPr>
          <w:t>https://knowledge.exlibrisgroup.com/Primo/Release_Notes/2019/001Primo_2019_Release_Notes</w:t>
        </w:r>
      </w:hyperlink>
      <w:r w:rsidR="00270474" w:rsidRPr="00270474">
        <w:rPr>
          <w:rFonts w:ascii="Helvetica" w:hAnsi="Helvetica"/>
          <w:sz w:val="16"/>
          <w:szCs w:val="16"/>
        </w:rPr>
        <w:t xml:space="preserve"> </w:t>
      </w:r>
      <w:r w:rsidRPr="00270474">
        <w:rPr>
          <w:rFonts w:ascii="Helvetica" w:hAnsi="Helvetica" w:cs="Helvetica"/>
          <w:sz w:val="16"/>
          <w:szCs w:val="16"/>
        </w:rPr>
        <w:t xml:space="preserve"> </w:t>
      </w:r>
    </w:p>
    <w:p w:rsidR="009868D5" w:rsidRDefault="009868D5" w:rsidP="004B003B"/>
    <w:p w:rsidR="00FF5E46" w:rsidRDefault="00245B9B" w:rsidP="00FF5E46">
      <w:pPr>
        <w:pStyle w:val="Titre1"/>
        <w:jc w:val="both"/>
        <w:rPr>
          <w:rFonts w:asciiTheme="minorHAnsi" w:hAnsiTheme="minorHAnsi"/>
          <w:color w:val="auto"/>
          <w:sz w:val="40"/>
          <w:szCs w:val="40"/>
        </w:rPr>
      </w:pPr>
      <w:bookmarkStart w:id="1" w:name="OLE_LINK1"/>
      <w:bookmarkStart w:id="2" w:name="OLE_LINK2"/>
      <w:r>
        <w:rPr>
          <w:rFonts w:asciiTheme="minorHAnsi" w:hAnsiTheme="minorHAnsi"/>
          <w:color w:val="auto"/>
          <w:sz w:val="40"/>
          <w:szCs w:val="40"/>
        </w:rPr>
        <w:t>Personnalisation des formats de citation proposés</w:t>
      </w:r>
    </w:p>
    <w:p w:rsidR="00FF5E46" w:rsidRDefault="00FF5E46" w:rsidP="00FF5E46">
      <w:pPr>
        <w:jc w:val="both"/>
      </w:pPr>
    </w:p>
    <w:p w:rsidR="00275004" w:rsidRDefault="00245B9B" w:rsidP="00D45973">
      <w:pPr>
        <w:jc w:val="both"/>
        <w:rPr>
          <w:rFonts w:ascii="Helvetica" w:hAnsi="Helvetica"/>
          <w:sz w:val="20"/>
        </w:rPr>
      </w:pPr>
      <w:r w:rsidRPr="00245B9B">
        <w:rPr>
          <w:rFonts w:ascii="Helvetica" w:hAnsi="Helvetica"/>
          <w:sz w:val="20"/>
        </w:rPr>
        <w:t xml:space="preserve">Primo proposait jusque-là cinq formats de citation : </w:t>
      </w:r>
      <w:r w:rsidR="00275004" w:rsidRPr="00245B9B">
        <w:rPr>
          <w:rFonts w:ascii="Helvetica" w:hAnsi="Helvetica"/>
          <w:sz w:val="20"/>
        </w:rPr>
        <w:t xml:space="preserve"> </w:t>
      </w:r>
      <w:r w:rsidRPr="00245B9B">
        <w:rPr>
          <w:rFonts w:ascii="Helvetica" w:hAnsi="Helvetica"/>
          <w:sz w:val="20"/>
        </w:rPr>
        <w:t>APA (6</w:t>
      </w:r>
      <w:r w:rsidRPr="00245B9B">
        <w:rPr>
          <w:rFonts w:ascii="Helvetica" w:hAnsi="Helvetica"/>
          <w:sz w:val="20"/>
          <w:vertAlign w:val="superscript"/>
        </w:rPr>
        <w:t>e</w:t>
      </w:r>
      <w:r w:rsidRPr="00245B9B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é</w:t>
      </w:r>
      <w:r w:rsidRPr="00245B9B">
        <w:rPr>
          <w:rFonts w:ascii="Helvetica" w:hAnsi="Helvetica"/>
          <w:sz w:val="20"/>
        </w:rPr>
        <w:t>dition), Chicago/</w:t>
      </w:r>
      <w:proofErr w:type="spellStart"/>
      <w:r w:rsidRPr="00245B9B">
        <w:rPr>
          <w:rFonts w:ascii="Helvetica" w:hAnsi="Helvetica"/>
          <w:sz w:val="20"/>
        </w:rPr>
        <w:t>Turabian</w:t>
      </w:r>
      <w:proofErr w:type="spellEnd"/>
      <w:r w:rsidRPr="00245B9B">
        <w:rPr>
          <w:rFonts w:ascii="Helvetica" w:hAnsi="Helvetica"/>
          <w:sz w:val="20"/>
        </w:rPr>
        <w:t xml:space="preserve"> (16</w:t>
      </w:r>
      <w:r w:rsidRPr="00245B9B">
        <w:rPr>
          <w:rFonts w:ascii="Helvetica" w:hAnsi="Helvetica"/>
          <w:sz w:val="20"/>
          <w:vertAlign w:val="superscript"/>
        </w:rPr>
        <w:t>e</w:t>
      </w:r>
      <w:r w:rsidRPr="00245B9B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é</w:t>
      </w:r>
      <w:r w:rsidRPr="00245B9B">
        <w:rPr>
          <w:rFonts w:ascii="Helvetica" w:hAnsi="Helvetica"/>
          <w:sz w:val="20"/>
        </w:rPr>
        <w:t>dition), Harvard, MLA (7</w:t>
      </w:r>
      <w:r w:rsidRPr="00245B9B">
        <w:rPr>
          <w:rFonts w:ascii="Helvetica" w:hAnsi="Helvetica"/>
          <w:sz w:val="20"/>
          <w:vertAlign w:val="superscript"/>
        </w:rPr>
        <w:t>e</w:t>
      </w:r>
      <w:r w:rsidRPr="00245B9B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é</w:t>
      </w:r>
      <w:r w:rsidRPr="00245B9B">
        <w:rPr>
          <w:rFonts w:ascii="Helvetica" w:hAnsi="Helvetica"/>
          <w:sz w:val="20"/>
        </w:rPr>
        <w:t>dition) and MLA (</w:t>
      </w:r>
      <w:r>
        <w:rPr>
          <w:rFonts w:ascii="Helvetica" w:hAnsi="Helvetica"/>
          <w:sz w:val="20"/>
        </w:rPr>
        <w:t>8</w:t>
      </w:r>
      <w:r w:rsidRPr="00245B9B">
        <w:rPr>
          <w:rFonts w:ascii="Helvetica" w:hAnsi="Helvetica"/>
          <w:sz w:val="20"/>
          <w:vertAlign w:val="superscript"/>
        </w:rPr>
        <w:t>e</w:t>
      </w:r>
      <w:r w:rsidRPr="00245B9B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é</w:t>
      </w:r>
      <w:r w:rsidRPr="00245B9B">
        <w:rPr>
          <w:rFonts w:ascii="Helvetica" w:hAnsi="Helvetica"/>
          <w:sz w:val="20"/>
        </w:rPr>
        <w:t>dition)</w:t>
      </w:r>
      <w:r>
        <w:rPr>
          <w:rFonts w:ascii="Helvetica" w:hAnsi="Helvetica"/>
          <w:sz w:val="20"/>
        </w:rPr>
        <w:t xml:space="preserve">. </w:t>
      </w:r>
    </w:p>
    <w:p w:rsidR="002B697B" w:rsidRDefault="00245B9B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L’implémentation d’un format ouvert de citations permet désormais d’ajouter des formats de citation ou d’en retrancher. Les formats « </w:t>
      </w:r>
      <w:proofErr w:type="spellStart"/>
      <w:r>
        <w:rPr>
          <w:rFonts w:ascii="Helvetica" w:hAnsi="Helvetica"/>
          <w:sz w:val="20"/>
        </w:rPr>
        <w:t>ajoutables</w:t>
      </w:r>
      <w:proofErr w:type="spellEnd"/>
      <w:r>
        <w:rPr>
          <w:rFonts w:ascii="Helvetica" w:hAnsi="Helvetica"/>
          <w:sz w:val="20"/>
        </w:rPr>
        <w:t xml:space="preserve"> » </w:t>
      </w:r>
      <w:r w:rsidR="002B697B">
        <w:rPr>
          <w:rFonts w:ascii="Helvetica" w:hAnsi="Helvetica"/>
          <w:sz w:val="20"/>
        </w:rPr>
        <w:t xml:space="preserve">sont ceux proposés sur ce dépôt : </w:t>
      </w:r>
      <w:hyperlink r:id="rId9" w:history="1">
        <w:r w:rsidR="002B697B" w:rsidRPr="0094039F">
          <w:rPr>
            <w:rStyle w:val="Lienhypertexte"/>
            <w:rFonts w:ascii="Helvetica" w:hAnsi="Helvetica"/>
            <w:sz w:val="20"/>
          </w:rPr>
          <w:t>https://github.com/citation-style-language/styles</w:t>
        </w:r>
      </w:hyperlink>
      <w:r w:rsidR="002B697B">
        <w:rPr>
          <w:rFonts w:ascii="Helvetica" w:hAnsi="Helvetica"/>
          <w:sz w:val="20"/>
        </w:rPr>
        <w:t xml:space="preserve">. </w:t>
      </w:r>
    </w:p>
    <w:p w:rsidR="002B697B" w:rsidRDefault="002B697B" w:rsidP="00D45973">
      <w:pPr>
        <w:jc w:val="both"/>
        <w:rPr>
          <w:rFonts w:ascii="Helvetica" w:hAnsi="Helvetica"/>
          <w:sz w:val="20"/>
        </w:rPr>
      </w:pPr>
      <w:r>
        <w:rPr>
          <w:noProof/>
          <w:lang w:eastAsia="fr-FR"/>
        </w:rPr>
        <w:drawing>
          <wp:inline distT="0" distB="0" distL="0" distR="0">
            <wp:extent cx="5760720" cy="3279533"/>
            <wp:effectExtent l="0" t="0" r="0" b="0"/>
            <wp:docPr id="7" name="Image 7" descr="PVE_CitationRepositoryFi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E_CitationRepositoryFin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97B" w:rsidRDefault="002B697B" w:rsidP="00D45973">
      <w:pPr>
        <w:jc w:val="both"/>
        <w:rPr>
          <w:rFonts w:ascii="Helvetica" w:hAnsi="Helvetica"/>
          <w:sz w:val="20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3279533"/>
            <wp:effectExtent l="0" t="0" r="0" b="0"/>
            <wp:docPr id="9" name="Image 9" descr="PVE_CitationRepositorySearchSt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VE_CitationRepositorySearchStri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97B" w:rsidRDefault="002B697B" w:rsidP="00D45973">
      <w:pPr>
        <w:jc w:val="both"/>
        <w:rPr>
          <w:rFonts w:ascii="Helvetica" w:hAnsi="Helvetica"/>
          <w:sz w:val="20"/>
        </w:rPr>
      </w:pPr>
    </w:p>
    <w:p w:rsidR="002B697B" w:rsidRDefault="002B697B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Il convient d’utiliser la fonction de recherche (« </w:t>
      </w:r>
      <w:proofErr w:type="spellStart"/>
      <w:r>
        <w:rPr>
          <w:rFonts w:ascii="Helvetica" w:hAnsi="Helvetica"/>
          <w:sz w:val="20"/>
        </w:rPr>
        <w:t>Find</w:t>
      </w:r>
      <w:proofErr w:type="spellEnd"/>
      <w:r>
        <w:rPr>
          <w:rFonts w:ascii="Helvetica" w:hAnsi="Helvetica"/>
          <w:sz w:val="20"/>
        </w:rPr>
        <w:t xml:space="preserve"> File ») et de rechercher le format souhaité. Son nom doit être ensuite copié (sans l’indication du </w:t>
      </w:r>
      <w:proofErr w:type="gramStart"/>
      <w:r>
        <w:rPr>
          <w:rFonts w:ascii="Helvetica" w:hAnsi="Helvetica"/>
          <w:sz w:val="20"/>
        </w:rPr>
        <w:t>format .</w:t>
      </w:r>
      <w:proofErr w:type="spellStart"/>
      <w:r>
        <w:rPr>
          <w:rFonts w:ascii="Helvetica" w:hAnsi="Helvetica"/>
          <w:sz w:val="20"/>
        </w:rPr>
        <w:t>csl</w:t>
      </w:r>
      <w:proofErr w:type="spellEnd"/>
      <w:proofErr w:type="gramEnd"/>
      <w:r>
        <w:rPr>
          <w:rFonts w:ascii="Helvetica" w:hAnsi="Helvetica"/>
          <w:sz w:val="20"/>
        </w:rPr>
        <w:t xml:space="preserve">) et communiqué au SICD, qui se chargera de l’ajouter. Il conviendra de fournir également à ce dernier l’intitulé public à utiliser pour ce format de citations. </w:t>
      </w:r>
    </w:p>
    <w:p w:rsidR="002B697B" w:rsidRDefault="002B697B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Sous réserve de confirmation, cette personnalisation semble pouvoir être faite vue par vue. </w:t>
      </w:r>
    </w:p>
    <w:p w:rsidR="002B697B" w:rsidRPr="00E41225" w:rsidRDefault="00E41225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Nota bene : </w:t>
      </w:r>
      <w:r>
        <w:rPr>
          <w:rFonts w:ascii="Helvetica" w:hAnsi="Helvetica"/>
          <w:sz w:val="20"/>
        </w:rPr>
        <w:t xml:space="preserve">l’ajout d’un format de citation local, spécifique à un établissement, doit passer impérativement par son ajout sur le dépôt susmentionné. Il appartiendra à chaque établissement de s’en occuper. </w:t>
      </w:r>
    </w:p>
    <w:p w:rsidR="00275004" w:rsidRDefault="00275004" w:rsidP="00D45973">
      <w:pPr>
        <w:jc w:val="both"/>
        <w:rPr>
          <w:rFonts w:ascii="Helvetica" w:hAnsi="Helvetica"/>
          <w:sz w:val="20"/>
        </w:rPr>
      </w:pPr>
    </w:p>
    <w:p w:rsidR="00D45973" w:rsidRDefault="00D45973" w:rsidP="00D45973">
      <w:pPr>
        <w:ind w:left="720"/>
        <w:jc w:val="both"/>
        <w:rPr>
          <w:rFonts w:ascii="Helvetica" w:hAnsi="Helvetica"/>
          <w:sz w:val="20"/>
        </w:rPr>
      </w:pPr>
    </w:p>
    <w:p w:rsidR="00E41225" w:rsidRDefault="00E41225" w:rsidP="00E41225">
      <w:pPr>
        <w:pStyle w:val="Titre1"/>
        <w:jc w:val="both"/>
        <w:rPr>
          <w:rFonts w:asciiTheme="minorHAnsi" w:hAnsiTheme="minorHAnsi"/>
          <w:color w:val="auto"/>
          <w:sz w:val="40"/>
          <w:szCs w:val="40"/>
        </w:rPr>
      </w:pPr>
      <w:r>
        <w:rPr>
          <w:rFonts w:asciiTheme="minorHAnsi" w:hAnsiTheme="minorHAnsi"/>
          <w:color w:val="auto"/>
          <w:sz w:val="40"/>
          <w:szCs w:val="40"/>
        </w:rPr>
        <w:t>Notices citées</w:t>
      </w:r>
    </w:p>
    <w:p w:rsidR="00275004" w:rsidRDefault="00E41225" w:rsidP="00E41225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Une nouvelle option permet d’afficher pour une publication donnée la liste des références citées par cette publication ou celle des références citant cette publication. </w:t>
      </w:r>
    </w:p>
    <w:p w:rsidR="006432C4" w:rsidRDefault="006432C4" w:rsidP="00E41225">
      <w:pPr>
        <w:jc w:val="both"/>
        <w:rPr>
          <w:rFonts w:ascii="Helvetica" w:hAnsi="Helvetica"/>
          <w:sz w:val="20"/>
        </w:rPr>
      </w:pPr>
      <w:r>
        <w:rPr>
          <w:noProof/>
          <w:lang w:eastAsia="fr-FR"/>
        </w:rPr>
        <w:lastRenderedPageBreak/>
        <w:drawing>
          <wp:inline distT="0" distB="0" distL="0" distR="0" wp14:anchorId="4E7B18E1" wp14:editId="3DB0D8A8">
            <wp:extent cx="5760720" cy="3644212"/>
            <wp:effectExtent l="0" t="0" r="0" b="0"/>
            <wp:docPr id="1" name="Image 1" descr="CitationIconsEx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ationIconsExampl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C4" w:rsidRDefault="006432C4" w:rsidP="00E41225">
      <w:pPr>
        <w:jc w:val="both"/>
        <w:rPr>
          <w:rFonts w:ascii="Helvetica" w:hAnsi="Helvetica"/>
          <w:sz w:val="20"/>
        </w:rPr>
      </w:pPr>
    </w:p>
    <w:p w:rsidR="006432C4" w:rsidRDefault="00E41225" w:rsidP="00E41225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Cette fonctionnalité </w:t>
      </w:r>
      <w:r w:rsidR="006432C4">
        <w:rPr>
          <w:rFonts w:ascii="Helvetica" w:hAnsi="Helvetica"/>
          <w:sz w:val="20"/>
        </w:rPr>
        <w:t xml:space="preserve">était déjà disponible au niveau des notices détaillées, mais s’affiche désormais sur également sur les notices succinctes, depuis la liste des résultats. </w:t>
      </w:r>
    </w:p>
    <w:p w:rsidR="006432C4" w:rsidRDefault="006432C4" w:rsidP="00E41225">
      <w:pPr>
        <w:jc w:val="both"/>
        <w:rPr>
          <w:rFonts w:ascii="Helvetica" w:hAnsi="Helvetica"/>
          <w:sz w:val="20"/>
        </w:rPr>
      </w:pPr>
      <w:r>
        <w:rPr>
          <w:noProof/>
          <w:lang w:eastAsia="fr-FR"/>
        </w:rPr>
        <w:drawing>
          <wp:inline distT="0" distB="0" distL="0" distR="0" wp14:anchorId="1FB58BF6" wp14:editId="18DE7D67">
            <wp:extent cx="5760720" cy="1647932"/>
            <wp:effectExtent l="0" t="0" r="0" b="9525"/>
            <wp:docPr id="2" name="Image 2" descr="PVE_CT_BriefResul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VE_CT_BriefResult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C4" w:rsidRDefault="006432C4" w:rsidP="00E41225">
      <w:pPr>
        <w:jc w:val="both"/>
        <w:rPr>
          <w:rFonts w:ascii="Helvetica" w:hAnsi="Helvetica"/>
          <w:sz w:val="20"/>
        </w:rPr>
      </w:pPr>
    </w:p>
    <w:p w:rsidR="00E41225" w:rsidRDefault="006432C4" w:rsidP="00E41225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Cette fonctionnalité e</w:t>
      </w:r>
      <w:r w:rsidR="00E41225">
        <w:rPr>
          <w:rFonts w:ascii="Helvetica" w:hAnsi="Helvetica"/>
          <w:sz w:val="20"/>
        </w:rPr>
        <w:t xml:space="preserve">st configurable vue par vue. </w:t>
      </w:r>
    </w:p>
    <w:p w:rsidR="006432C4" w:rsidRPr="00E41225" w:rsidRDefault="006432C4" w:rsidP="006432C4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Ces listes de citations sont bâties par croisement des métadonnées récupérées auprès de </w:t>
      </w:r>
      <w:proofErr w:type="spellStart"/>
      <w:r>
        <w:rPr>
          <w:rFonts w:ascii="Helvetica" w:hAnsi="Helvetica"/>
          <w:sz w:val="20"/>
        </w:rPr>
        <w:t>CrossRef</w:t>
      </w:r>
      <w:proofErr w:type="spellEnd"/>
      <w:r>
        <w:rPr>
          <w:rFonts w:ascii="Helvetica" w:hAnsi="Helvetica"/>
          <w:sz w:val="20"/>
        </w:rPr>
        <w:t xml:space="preserve"> et des notices de Primo Central Index. Pour cette raison, cette fonctionnalité s’applique exclusivement aux notices issues de ce répertoire et ne prétend pas à fournir la totalité des références citant la publication concernée. </w:t>
      </w:r>
    </w:p>
    <w:p w:rsidR="006432C4" w:rsidRDefault="006432C4" w:rsidP="006432C4">
      <w:pPr>
        <w:jc w:val="both"/>
        <w:rPr>
          <w:rFonts w:ascii="Helvetica" w:hAnsi="Helvetica"/>
          <w:sz w:val="20"/>
        </w:rPr>
      </w:pPr>
    </w:p>
    <w:p w:rsidR="006432C4" w:rsidRDefault="006432C4" w:rsidP="006432C4">
      <w:pPr>
        <w:ind w:left="720"/>
        <w:jc w:val="both"/>
        <w:rPr>
          <w:rFonts w:ascii="Helvetica" w:hAnsi="Helvetica"/>
          <w:sz w:val="20"/>
        </w:rPr>
      </w:pPr>
    </w:p>
    <w:p w:rsidR="006432C4" w:rsidRDefault="006432C4" w:rsidP="006432C4">
      <w:pPr>
        <w:pStyle w:val="Titre1"/>
        <w:jc w:val="both"/>
        <w:rPr>
          <w:rFonts w:asciiTheme="minorHAnsi" w:hAnsiTheme="minorHAnsi"/>
          <w:color w:val="auto"/>
          <w:sz w:val="40"/>
          <w:szCs w:val="40"/>
        </w:rPr>
      </w:pPr>
      <w:r>
        <w:rPr>
          <w:rFonts w:asciiTheme="minorHAnsi" w:hAnsiTheme="minorHAnsi"/>
          <w:color w:val="auto"/>
          <w:sz w:val="40"/>
          <w:szCs w:val="40"/>
        </w:rPr>
        <w:t>Renouvellements de prêt</w:t>
      </w:r>
    </w:p>
    <w:p w:rsidR="006432C4" w:rsidRDefault="006432C4" w:rsidP="006432C4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La fonction qui permet de renouveler des prêts depuis le compte lecteur Primo a vu s’ajouter une troisième option aux deux options précédemment disponibles (renouvellement exemplaire par exemplaire, renouvellement de tous les exemplaires) : renouvellement d’une sélection d’exemplaire. </w:t>
      </w:r>
    </w:p>
    <w:p w:rsidR="006432C4" w:rsidRDefault="006432C4" w:rsidP="006432C4">
      <w:pPr>
        <w:jc w:val="both"/>
        <w:rPr>
          <w:rFonts w:ascii="Helvetica" w:hAnsi="Helvetica"/>
          <w:sz w:val="20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4640774"/>
            <wp:effectExtent l="0" t="0" r="0" b="7620"/>
            <wp:docPr id="19" name="Image 19" descr="PVE_MyLibraryCard_Loans_RenewSelecte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VE_MyLibraryCard_Loans_RenewSelected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C4" w:rsidRDefault="006432C4" w:rsidP="006432C4">
      <w:pPr>
        <w:jc w:val="both"/>
        <w:rPr>
          <w:rFonts w:ascii="Helvetica" w:hAnsi="Helvetica"/>
          <w:sz w:val="20"/>
        </w:rPr>
      </w:pPr>
    </w:p>
    <w:p w:rsidR="006432C4" w:rsidRPr="00E41225" w:rsidRDefault="006432C4" w:rsidP="006432C4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Cette fonction s’affiche à la place de « Tout renouveler », lorsque plusieurs prêts (mais pas tous) ont été cochés. Si aucun prêt n’a été coché ou si tous les prêts ont été cochés, « Tout renouveler » s’affiche. </w:t>
      </w:r>
    </w:p>
    <w:p w:rsidR="006432C4" w:rsidRDefault="006432C4" w:rsidP="006432C4">
      <w:pPr>
        <w:jc w:val="both"/>
        <w:rPr>
          <w:rFonts w:ascii="Helvetica" w:hAnsi="Helvetica"/>
          <w:sz w:val="20"/>
        </w:rPr>
      </w:pPr>
    </w:p>
    <w:p w:rsidR="006432C4" w:rsidRDefault="006432C4" w:rsidP="006432C4">
      <w:pPr>
        <w:ind w:left="720"/>
        <w:jc w:val="both"/>
        <w:rPr>
          <w:rFonts w:ascii="Helvetica" w:hAnsi="Helvetica"/>
          <w:sz w:val="20"/>
        </w:rPr>
      </w:pPr>
    </w:p>
    <w:p w:rsidR="006432C4" w:rsidRDefault="006432C4" w:rsidP="006432C4">
      <w:pPr>
        <w:pStyle w:val="Titre1"/>
        <w:jc w:val="both"/>
        <w:rPr>
          <w:rFonts w:asciiTheme="minorHAnsi" w:hAnsiTheme="minorHAnsi"/>
          <w:color w:val="auto"/>
          <w:sz w:val="40"/>
          <w:szCs w:val="40"/>
        </w:rPr>
      </w:pPr>
      <w:r>
        <w:rPr>
          <w:rFonts w:asciiTheme="minorHAnsi" w:hAnsiTheme="minorHAnsi"/>
          <w:color w:val="auto"/>
          <w:sz w:val="40"/>
          <w:szCs w:val="40"/>
        </w:rPr>
        <w:t>Nouvelle interface d’activation des collections dans Primo Central Index</w:t>
      </w:r>
    </w:p>
    <w:p w:rsidR="00B25303" w:rsidRDefault="00B25303" w:rsidP="006432C4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L’interface d’activation des collections a été complètement revue : son ergonomie a été alignée sur celle d’Alma et ses fonctionnalités de recherche et de tri améliorées, avec l’ajout d’un filtre « Nouveautés » (voir le filtre « </w:t>
      </w:r>
      <w:proofErr w:type="spellStart"/>
      <w:r>
        <w:rPr>
          <w:rFonts w:ascii="Helvetica" w:hAnsi="Helvetica"/>
          <w:sz w:val="20"/>
        </w:rPr>
        <w:t>Other</w:t>
      </w:r>
      <w:proofErr w:type="spellEnd"/>
      <w:r>
        <w:rPr>
          <w:rFonts w:ascii="Helvetica" w:hAnsi="Helvetica"/>
          <w:sz w:val="20"/>
        </w:rPr>
        <w:t xml:space="preserve"> »). </w:t>
      </w:r>
    </w:p>
    <w:p w:rsidR="00B25303" w:rsidRDefault="00B25303" w:rsidP="006432C4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lastRenderedPageBreak/>
        <w:drawing>
          <wp:inline distT="0" distB="0" distL="0" distR="0">
            <wp:extent cx="5760720" cy="2817495"/>
            <wp:effectExtent l="0" t="0" r="0" b="190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19-01-28_11472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303" w:rsidRDefault="00B25303" w:rsidP="006432C4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drawing>
          <wp:inline distT="0" distB="0" distL="0" distR="0">
            <wp:extent cx="5760720" cy="2817495"/>
            <wp:effectExtent l="0" t="0" r="0" b="190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19-01-28_114856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303" w:rsidRDefault="00B25303" w:rsidP="006432C4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drawing>
          <wp:inline distT="0" distB="0" distL="0" distR="0">
            <wp:extent cx="5760720" cy="2817495"/>
            <wp:effectExtent l="0" t="0" r="0" b="190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2019-01-28_115154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303" w:rsidRPr="006432C4" w:rsidRDefault="00B25303" w:rsidP="00E41225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 xml:space="preserve">Le détail des informations sur les collections (contenu, description, fréquence de mise à jour, dernière date de mise à jour, etc.) reste lui inchangé et donc de qualité variable d’une collection à l’autre. </w:t>
      </w:r>
    </w:p>
    <w:bookmarkEnd w:id="1"/>
    <w:bookmarkEnd w:id="2"/>
    <w:p w:rsidR="00B25303" w:rsidRDefault="00B25303" w:rsidP="00681DFC">
      <w:pPr>
        <w:jc w:val="both"/>
        <w:rPr>
          <w:rFonts w:ascii="Helvetica" w:hAnsi="Helvetica"/>
          <w:szCs w:val="20"/>
        </w:rPr>
      </w:pPr>
      <w:r>
        <w:rPr>
          <w:rFonts w:ascii="Helvetica" w:hAnsi="Helvetica"/>
          <w:noProof/>
          <w:szCs w:val="20"/>
          <w:lang w:eastAsia="fr-FR"/>
        </w:rPr>
        <w:drawing>
          <wp:inline distT="0" distB="0" distL="0" distR="0">
            <wp:extent cx="5760720" cy="2817495"/>
            <wp:effectExtent l="0" t="0" r="0" b="190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2019-01-28_115226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303" w:rsidRDefault="00B25303" w:rsidP="00681DFC">
      <w:pPr>
        <w:jc w:val="both"/>
        <w:rPr>
          <w:rFonts w:ascii="Helvetica" w:hAnsi="Helvetica"/>
          <w:szCs w:val="20"/>
        </w:rPr>
      </w:pPr>
      <w:r>
        <w:rPr>
          <w:rFonts w:ascii="Helvetica" w:hAnsi="Helvetica"/>
          <w:noProof/>
          <w:szCs w:val="20"/>
          <w:lang w:eastAsia="fr-FR"/>
        </w:rPr>
        <w:drawing>
          <wp:inline distT="0" distB="0" distL="0" distR="0">
            <wp:extent cx="5760720" cy="1217930"/>
            <wp:effectExtent l="0" t="0" r="0" b="127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2019-01-28_115324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303" w:rsidRPr="00681DFC" w:rsidRDefault="00B25303" w:rsidP="00681DFC">
      <w:pPr>
        <w:jc w:val="both"/>
        <w:rPr>
          <w:rFonts w:ascii="Helvetica" w:hAnsi="Helvetica"/>
          <w:szCs w:val="20"/>
        </w:rPr>
      </w:pPr>
    </w:p>
    <w:sectPr w:rsidR="00B25303" w:rsidRPr="00681DFC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96E" w:rsidRDefault="00A9096E" w:rsidP="0000222F">
      <w:pPr>
        <w:spacing w:after="0" w:line="240" w:lineRule="auto"/>
      </w:pPr>
      <w:r>
        <w:separator/>
      </w:r>
    </w:p>
  </w:endnote>
  <w:endnote w:type="continuationSeparator" w:id="0">
    <w:p w:rsidR="00A9096E" w:rsidRDefault="00A9096E" w:rsidP="0000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706716"/>
      <w:docPartObj>
        <w:docPartGallery w:val="Page Numbers (Bottom of Page)"/>
        <w:docPartUnique/>
      </w:docPartObj>
    </w:sdtPr>
    <w:sdtEndPr/>
    <w:sdtContent>
      <w:p w:rsidR="00A9096E" w:rsidRDefault="00A9096E">
        <w:pPr>
          <w:pStyle w:val="Pieddepage"/>
          <w:jc w:val="right"/>
        </w:pPr>
        <w:r w:rsidRPr="004B003B">
          <w:rPr>
            <w:rFonts w:ascii="Constantia" w:hAnsi="Constantia"/>
            <w:sz w:val="24"/>
          </w:rPr>
          <w:fldChar w:fldCharType="begin"/>
        </w:r>
        <w:r w:rsidRPr="004B003B">
          <w:rPr>
            <w:rFonts w:ascii="Constantia" w:hAnsi="Constantia"/>
            <w:sz w:val="24"/>
          </w:rPr>
          <w:instrText>PAGE   \* MERGEFORMAT</w:instrText>
        </w:r>
        <w:r w:rsidRPr="004B003B">
          <w:rPr>
            <w:rFonts w:ascii="Constantia" w:hAnsi="Constantia"/>
            <w:sz w:val="24"/>
          </w:rPr>
          <w:fldChar w:fldCharType="separate"/>
        </w:r>
        <w:r w:rsidR="00823E71">
          <w:rPr>
            <w:rFonts w:ascii="Constantia" w:hAnsi="Constantia"/>
            <w:noProof/>
            <w:sz w:val="24"/>
          </w:rPr>
          <w:t>1</w:t>
        </w:r>
        <w:r w:rsidRPr="004B003B">
          <w:rPr>
            <w:rFonts w:ascii="Constantia" w:hAnsi="Constantia"/>
            <w:sz w:val="24"/>
          </w:rPr>
          <w:fldChar w:fldCharType="end"/>
        </w:r>
      </w:p>
    </w:sdtContent>
  </w:sdt>
  <w:p w:rsidR="00A9096E" w:rsidRPr="0000222F" w:rsidRDefault="00A9096E">
    <w:pPr>
      <w:pStyle w:val="Pieddepage"/>
      <w:rPr>
        <w:rFonts w:ascii="Constantia" w:hAnsi="Constant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96E" w:rsidRDefault="00A9096E" w:rsidP="0000222F">
      <w:pPr>
        <w:spacing w:after="0" w:line="240" w:lineRule="auto"/>
      </w:pPr>
      <w:r>
        <w:separator/>
      </w:r>
    </w:p>
  </w:footnote>
  <w:footnote w:type="continuationSeparator" w:id="0">
    <w:p w:rsidR="00A9096E" w:rsidRDefault="00A9096E" w:rsidP="0000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6E" w:rsidRDefault="00A9096E">
    <w:pPr>
      <w:spacing w:line="264" w:lineRule="auto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576FD3A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Constantia" w:hAnsi="Constantia"/>
          <w:color w:val="000000" w:themeColor="text1"/>
          <w:sz w:val="20"/>
          <w:szCs w:val="20"/>
        </w:rPr>
        <w:alias w:val="Titre"/>
        <w:id w:val="15524250"/>
        <w:placeholder>
          <w:docPart w:val="1F140EDFA42749DCA90E4D7A91410D1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23E71">
          <w:rPr>
            <w:rFonts w:ascii="Constantia" w:hAnsi="Constantia"/>
            <w:color w:val="000000" w:themeColor="text1"/>
            <w:sz w:val="20"/>
            <w:szCs w:val="20"/>
          </w:rPr>
          <w:t>Note de version Primo – Premier trimestre 2019</w:t>
        </w:r>
      </w:sdtContent>
    </w:sdt>
  </w:p>
  <w:p w:rsidR="00A9096E" w:rsidRDefault="00A909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D1B"/>
    <w:multiLevelType w:val="hybridMultilevel"/>
    <w:tmpl w:val="292A8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70EF7"/>
    <w:multiLevelType w:val="hybridMultilevel"/>
    <w:tmpl w:val="99B64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2F5F"/>
    <w:multiLevelType w:val="hybridMultilevel"/>
    <w:tmpl w:val="F49E1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2734F"/>
    <w:multiLevelType w:val="hybridMultilevel"/>
    <w:tmpl w:val="BBF40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03D1"/>
    <w:multiLevelType w:val="hybridMultilevel"/>
    <w:tmpl w:val="244612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51E6"/>
    <w:multiLevelType w:val="hybridMultilevel"/>
    <w:tmpl w:val="7780C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1366"/>
    <w:multiLevelType w:val="hybridMultilevel"/>
    <w:tmpl w:val="AD866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F7ED1"/>
    <w:multiLevelType w:val="hybridMultilevel"/>
    <w:tmpl w:val="02A25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96C7E"/>
    <w:multiLevelType w:val="hybridMultilevel"/>
    <w:tmpl w:val="CFE28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6141C"/>
    <w:multiLevelType w:val="hybridMultilevel"/>
    <w:tmpl w:val="7A848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570B1"/>
    <w:multiLevelType w:val="hybridMultilevel"/>
    <w:tmpl w:val="E66C4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64893"/>
    <w:multiLevelType w:val="hybridMultilevel"/>
    <w:tmpl w:val="0C1A8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86396"/>
    <w:multiLevelType w:val="hybridMultilevel"/>
    <w:tmpl w:val="89609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B7523"/>
    <w:multiLevelType w:val="hybridMultilevel"/>
    <w:tmpl w:val="04B8478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268736E"/>
    <w:multiLevelType w:val="hybridMultilevel"/>
    <w:tmpl w:val="4D52B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44ACE"/>
    <w:multiLevelType w:val="hybridMultilevel"/>
    <w:tmpl w:val="FABCA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1029C"/>
    <w:multiLevelType w:val="hybridMultilevel"/>
    <w:tmpl w:val="782CA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05117"/>
    <w:multiLevelType w:val="hybridMultilevel"/>
    <w:tmpl w:val="D7009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16FC6"/>
    <w:multiLevelType w:val="hybridMultilevel"/>
    <w:tmpl w:val="37367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3784F"/>
    <w:multiLevelType w:val="hybridMultilevel"/>
    <w:tmpl w:val="BCACB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17107"/>
    <w:multiLevelType w:val="hybridMultilevel"/>
    <w:tmpl w:val="B98E2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928D1"/>
    <w:multiLevelType w:val="hybridMultilevel"/>
    <w:tmpl w:val="24A8B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79CB"/>
    <w:multiLevelType w:val="hybridMultilevel"/>
    <w:tmpl w:val="47F4B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84A72"/>
    <w:multiLevelType w:val="hybridMultilevel"/>
    <w:tmpl w:val="B5CCF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2777D"/>
    <w:multiLevelType w:val="hybridMultilevel"/>
    <w:tmpl w:val="AF38A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23EBC"/>
    <w:multiLevelType w:val="hybridMultilevel"/>
    <w:tmpl w:val="D1F2E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F6EFD"/>
    <w:multiLevelType w:val="hybridMultilevel"/>
    <w:tmpl w:val="6E400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C7C29"/>
    <w:multiLevelType w:val="hybridMultilevel"/>
    <w:tmpl w:val="EB744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16976"/>
    <w:multiLevelType w:val="hybridMultilevel"/>
    <w:tmpl w:val="57942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6328E"/>
    <w:multiLevelType w:val="hybridMultilevel"/>
    <w:tmpl w:val="6F28F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27127"/>
    <w:multiLevelType w:val="hybridMultilevel"/>
    <w:tmpl w:val="5F5CA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E3B93"/>
    <w:multiLevelType w:val="hybridMultilevel"/>
    <w:tmpl w:val="85BCF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92971"/>
    <w:multiLevelType w:val="hybridMultilevel"/>
    <w:tmpl w:val="06D46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D6FA8"/>
    <w:multiLevelType w:val="hybridMultilevel"/>
    <w:tmpl w:val="95E2A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95D1A"/>
    <w:multiLevelType w:val="hybridMultilevel"/>
    <w:tmpl w:val="10782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0166B"/>
    <w:multiLevelType w:val="hybridMultilevel"/>
    <w:tmpl w:val="6486D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33771"/>
    <w:multiLevelType w:val="hybridMultilevel"/>
    <w:tmpl w:val="3182C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D0C70"/>
    <w:multiLevelType w:val="hybridMultilevel"/>
    <w:tmpl w:val="8C16C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A7007"/>
    <w:multiLevelType w:val="hybridMultilevel"/>
    <w:tmpl w:val="14488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A214C"/>
    <w:multiLevelType w:val="hybridMultilevel"/>
    <w:tmpl w:val="0B6CA3A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31"/>
  </w:num>
  <w:num w:numId="4">
    <w:abstractNumId w:val="14"/>
  </w:num>
  <w:num w:numId="5">
    <w:abstractNumId w:val="33"/>
  </w:num>
  <w:num w:numId="6">
    <w:abstractNumId w:val="28"/>
  </w:num>
  <w:num w:numId="7">
    <w:abstractNumId w:val="15"/>
  </w:num>
  <w:num w:numId="8">
    <w:abstractNumId w:val="19"/>
  </w:num>
  <w:num w:numId="9">
    <w:abstractNumId w:val="8"/>
  </w:num>
  <w:num w:numId="10">
    <w:abstractNumId w:val="38"/>
  </w:num>
  <w:num w:numId="11">
    <w:abstractNumId w:val="18"/>
  </w:num>
  <w:num w:numId="12">
    <w:abstractNumId w:val="34"/>
  </w:num>
  <w:num w:numId="13">
    <w:abstractNumId w:val="7"/>
  </w:num>
  <w:num w:numId="14">
    <w:abstractNumId w:val="22"/>
  </w:num>
  <w:num w:numId="15">
    <w:abstractNumId w:val="12"/>
  </w:num>
  <w:num w:numId="16">
    <w:abstractNumId w:val="20"/>
  </w:num>
  <w:num w:numId="17">
    <w:abstractNumId w:val="36"/>
  </w:num>
  <w:num w:numId="18">
    <w:abstractNumId w:val="13"/>
  </w:num>
  <w:num w:numId="19">
    <w:abstractNumId w:val="29"/>
  </w:num>
  <w:num w:numId="20">
    <w:abstractNumId w:val="39"/>
  </w:num>
  <w:num w:numId="21">
    <w:abstractNumId w:val="25"/>
  </w:num>
  <w:num w:numId="22">
    <w:abstractNumId w:val="37"/>
  </w:num>
  <w:num w:numId="23">
    <w:abstractNumId w:val="4"/>
  </w:num>
  <w:num w:numId="24">
    <w:abstractNumId w:val="10"/>
  </w:num>
  <w:num w:numId="25">
    <w:abstractNumId w:val="1"/>
  </w:num>
  <w:num w:numId="26">
    <w:abstractNumId w:val="5"/>
  </w:num>
  <w:num w:numId="27">
    <w:abstractNumId w:val="0"/>
  </w:num>
  <w:num w:numId="28">
    <w:abstractNumId w:val="6"/>
  </w:num>
  <w:num w:numId="29">
    <w:abstractNumId w:val="11"/>
  </w:num>
  <w:num w:numId="30">
    <w:abstractNumId w:val="9"/>
  </w:num>
  <w:num w:numId="31">
    <w:abstractNumId w:val="23"/>
  </w:num>
  <w:num w:numId="32">
    <w:abstractNumId w:val="17"/>
  </w:num>
  <w:num w:numId="33">
    <w:abstractNumId w:val="30"/>
  </w:num>
  <w:num w:numId="34">
    <w:abstractNumId w:val="21"/>
  </w:num>
  <w:num w:numId="35">
    <w:abstractNumId w:val="2"/>
  </w:num>
  <w:num w:numId="36">
    <w:abstractNumId w:val="26"/>
  </w:num>
  <w:num w:numId="37">
    <w:abstractNumId w:val="27"/>
  </w:num>
  <w:num w:numId="38">
    <w:abstractNumId w:val="16"/>
  </w:num>
  <w:num w:numId="39">
    <w:abstractNumId w:val="24"/>
  </w:num>
  <w:num w:numId="40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B4"/>
    <w:rsid w:val="0000222F"/>
    <w:rsid w:val="00005002"/>
    <w:rsid w:val="00014F96"/>
    <w:rsid w:val="00024F2F"/>
    <w:rsid w:val="00025E7E"/>
    <w:rsid w:val="00036CBD"/>
    <w:rsid w:val="000401DE"/>
    <w:rsid w:val="00041564"/>
    <w:rsid w:val="000511AD"/>
    <w:rsid w:val="000736F5"/>
    <w:rsid w:val="000C59D6"/>
    <w:rsid w:val="000D3C15"/>
    <w:rsid w:val="000D6D4E"/>
    <w:rsid w:val="000F747B"/>
    <w:rsid w:val="0010457B"/>
    <w:rsid w:val="00105490"/>
    <w:rsid w:val="00111459"/>
    <w:rsid w:val="00112A0B"/>
    <w:rsid w:val="00117E9B"/>
    <w:rsid w:val="001650B2"/>
    <w:rsid w:val="00172A1B"/>
    <w:rsid w:val="001C53F4"/>
    <w:rsid w:val="001E03D0"/>
    <w:rsid w:val="001E3A89"/>
    <w:rsid w:val="001F1BC0"/>
    <w:rsid w:val="0020526F"/>
    <w:rsid w:val="00214FC2"/>
    <w:rsid w:val="00245B9B"/>
    <w:rsid w:val="00261FDF"/>
    <w:rsid w:val="00270474"/>
    <w:rsid w:val="0027143E"/>
    <w:rsid w:val="00272361"/>
    <w:rsid w:val="00274673"/>
    <w:rsid w:val="00275004"/>
    <w:rsid w:val="00285875"/>
    <w:rsid w:val="0029509B"/>
    <w:rsid w:val="002A70D3"/>
    <w:rsid w:val="002B697B"/>
    <w:rsid w:val="002C4D55"/>
    <w:rsid w:val="002F1327"/>
    <w:rsid w:val="00321A9A"/>
    <w:rsid w:val="003224A7"/>
    <w:rsid w:val="0032429A"/>
    <w:rsid w:val="003251D8"/>
    <w:rsid w:val="00326913"/>
    <w:rsid w:val="003474A7"/>
    <w:rsid w:val="00361902"/>
    <w:rsid w:val="00364FCC"/>
    <w:rsid w:val="003A762F"/>
    <w:rsid w:val="003D3BED"/>
    <w:rsid w:val="003E38D0"/>
    <w:rsid w:val="003E5F2E"/>
    <w:rsid w:val="003F402B"/>
    <w:rsid w:val="00415DFF"/>
    <w:rsid w:val="004206D0"/>
    <w:rsid w:val="00441B1F"/>
    <w:rsid w:val="00443F9F"/>
    <w:rsid w:val="0045797F"/>
    <w:rsid w:val="004673BE"/>
    <w:rsid w:val="004679EA"/>
    <w:rsid w:val="0047260A"/>
    <w:rsid w:val="00474B3A"/>
    <w:rsid w:val="0048554F"/>
    <w:rsid w:val="00486028"/>
    <w:rsid w:val="00486537"/>
    <w:rsid w:val="00491A58"/>
    <w:rsid w:val="00494A30"/>
    <w:rsid w:val="004A67C3"/>
    <w:rsid w:val="004A6BC9"/>
    <w:rsid w:val="004B003B"/>
    <w:rsid w:val="004B5E2C"/>
    <w:rsid w:val="004D0282"/>
    <w:rsid w:val="004E50F5"/>
    <w:rsid w:val="005007A3"/>
    <w:rsid w:val="005214E6"/>
    <w:rsid w:val="00524A5D"/>
    <w:rsid w:val="00535A67"/>
    <w:rsid w:val="005370F4"/>
    <w:rsid w:val="00540F8B"/>
    <w:rsid w:val="00541138"/>
    <w:rsid w:val="00550E1E"/>
    <w:rsid w:val="0055368B"/>
    <w:rsid w:val="005656F2"/>
    <w:rsid w:val="005772B3"/>
    <w:rsid w:val="00583BDD"/>
    <w:rsid w:val="00585D27"/>
    <w:rsid w:val="005A408F"/>
    <w:rsid w:val="005A4119"/>
    <w:rsid w:val="005C0361"/>
    <w:rsid w:val="005D2440"/>
    <w:rsid w:val="005D75FA"/>
    <w:rsid w:val="005E08E8"/>
    <w:rsid w:val="005E6A4B"/>
    <w:rsid w:val="006148A9"/>
    <w:rsid w:val="00636B65"/>
    <w:rsid w:val="00640F75"/>
    <w:rsid w:val="006432C4"/>
    <w:rsid w:val="00657179"/>
    <w:rsid w:val="00681DFC"/>
    <w:rsid w:val="00695988"/>
    <w:rsid w:val="006B3C74"/>
    <w:rsid w:val="006B7860"/>
    <w:rsid w:val="006C5B78"/>
    <w:rsid w:val="006D416A"/>
    <w:rsid w:val="006F79D3"/>
    <w:rsid w:val="00707575"/>
    <w:rsid w:val="00721FB1"/>
    <w:rsid w:val="00737F51"/>
    <w:rsid w:val="007423BA"/>
    <w:rsid w:val="00744D74"/>
    <w:rsid w:val="00763E4A"/>
    <w:rsid w:val="00784A00"/>
    <w:rsid w:val="00791893"/>
    <w:rsid w:val="007A586E"/>
    <w:rsid w:val="007A5C14"/>
    <w:rsid w:val="007B4945"/>
    <w:rsid w:val="007C474D"/>
    <w:rsid w:val="007E723C"/>
    <w:rsid w:val="007F1B48"/>
    <w:rsid w:val="00802C71"/>
    <w:rsid w:val="00805200"/>
    <w:rsid w:val="00813BFE"/>
    <w:rsid w:val="0082353A"/>
    <w:rsid w:val="00823E71"/>
    <w:rsid w:val="00830066"/>
    <w:rsid w:val="0083132C"/>
    <w:rsid w:val="008358D1"/>
    <w:rsid w:val="00854DA3"/>
    <w:rsid w:val="00861AD0"/>
    <w:rsid w:val="00892E14"/>
    <w:rsid w:val="00894A43"/>
    <w:rsid w:val="008A04F6"/>
    <w:rsid w:val="008B2251"/>
    <w:rsid w:val="008B4BE1"/>
    <w:rsid w:val="008B5D6E"/>
    <w:rsid w:val="008B6CE6"/>
    <w:rsid w:val="008C63D9"/>
    <w:rsid w:val="008D5E7F"/>
    <w:rsid w:val="008D669B"/>
    <w:rsid w:val="00921EF0"/>
    <w:rsid w:val="0094099C"/>
    <w:rsid w:val="00957BB2"/>
    <w:rsid w:val="00961C39"/>
    <w:rsid w:val="00976C63"/>
    <w:rsid w:val="00984A2A"/>
    <w:rsid w:val="009868D5"/>
    <w:rsid w:val="0099021A"/>
    <w:rsid w:val="009922B4"/>
    <w:rsid w:val="00997C68"/>
    <w:rsid w:val="009B26B5"/>
    <w:rsid w:val="009B3819"/>
    <w:rsid w:val="009C0F47"/>
    <w:rsid w:val="009C2364"/>
    <w:rsid w:val="009D1495"/>
    <w:rsid w:val="009D56DD"/>
    <w:rsid w:val="009D7D87"/>
    <w:rsid w:val="00A032F5"/>
    <w:rsid w:val="00A20C95"/>
    <w:rsid w:val="00A30750"/>
    <w:rsid w:val="00A51303"/>
    <w:rsid w:val="00A616A7"/>
    <w:rsid w:val="00A75AC2"/>
    <w:rsid w:val="00A77C5E"/>
    <w:rsid w:val="00A830B5"/>
    <w:rsid w:val="00A9096E"/>
    <w:rsid w:val="00AA2219"/>
    <w:rsid w:val="00AA52A5"/>
    <w:rsid w:val="00AD0E4D"/>
    <w:rsid w:val="00AF0106"/>
    <w:rsid w:val="00AF1418"/>
    <w:rsid w:val="00B202CE"/>
    <w:rsid w:val="00B22555"/>
    <w:rsid w:val="00B25303"/>
    <w:rsid w:val="00B43534"/>
    <w:rsid w:val="00B45BD6"/>
    <w:rsid w:val="00B62FD4"/>
    <w:rsid w:val="00B65AA3"/>
    <w:rsid w:val="00B7042F"/>
    <w:rsid w:val="00B733AC"/>
    <w:rsid w:val="00B9082F"/>
    <w:rsid w:val="00BB4679"/>
    <w:rsid w:val="00BD096F"/>
    <w:rsid w:val="00BD2AA4"/>
    <w:rsid w:val="00BD4AD5"/>
    <w:rsid w:val="00BD53C0"/>
    <w:rsid w:val="00BF425D"/>
    <w:rsid w:val="00BF4759"/>
    <w:rsid w:val="00BF5A00"/>
    <w:rsid w:val="00C06A60"/>
    <w:rsid w:val="00C07835"/>
    <w:rsid w:val="00C357BA"/>
    <w:rsid w:val="00C36024"/>
    <w:rsid w:val="00C441E8"/>
    <w:rsid w:val="00C54E4F"/>
    <w:rsid w:val="00C632B8"/>
    <w:rsid w:val="00C65FCD"/>
    <w:rsid w:val="00C7078F"/>
    <w:rsid w:val="00C72F09"/>
    <w:rsid w:val="00C771BF"/>
    <w:rsid w:val="00C96FF6"/>
    <w:rsid w:val="00CA085C"/>
    <w:rsid w:val="00CA19C1"/>
    <w:rsid w:val="00CB7EB4"/>
    <w:rsid w:val="00CC11CF"/>
    <w:rsid w:val="00CD1F44"/>
    <w:rsid w:val="00CE1D11"/>
    <w:rsid w:val="00CF1D7F"/>
    <w:rsid w:val="00D015CD"/>
    <w:rsid w:val="00D24698"/>
    <w:rsid w:val="00D25941"/>
    <w:rsid w:val="00D34BC5"/>
    <w:rsid w:val="00D36CF5"/>
    <w:rsid w:val="00D4164C"/>
    <w:rsid w:val="00D426EA"/>
    <w:rsid w:val="00D45973"/>
    <w:rsid w:val="00D50A0E"/>
    <w:rsid w:val="00D50E3E"/>
    <w:rsid w:val="00D70AEC"/>
    <w:rsid w:val="00D74046"/>
    <w:rsid w:val="00D75DC5"/>
    <w:rsid w:val="00DA5EAF"/>
    <w:rsid w:val="00DB33B9"/>
    <w:rsid w:val="00DB7EF8"/>
    <w:rsid w:val="00DC1426"/>
    <w:rsid w:val="00DD1B82"/>
    <w:rsid w:val="00E0351C"/>
    <w:rsid w:val="00E07DCD"/>
    <w:rsid w:val="00E10427"/>
    <w:rsid w:val="00E122BD"/>
    <w:rsid w:val="00E171FB"/>
    <w:rsid w:val="00E26911"/>
    <w:rsid w:val="00E41225"/>
    <w:rsid w:val="00E53580"/>
    <w:rsid w:val="00E538CA"/>
    <w:rsid w:val="00E5653F"/>
    <w:rsid w:val="00E73D26"/>
    <w:rsid w:val="00E93B8F"/>
    <w:rsid w:val="00EA6047"/>
    <w:rsid w:val="00EA6656"/>
    <w:rsid w:val="00EA7543"/>
    <w:rsid w:val="00EB4EBC"/>
    <w:rsid w:val="00EC0880"/>
    <w:rsid w:val="00EC6CA5"/>
    <w:rsid w:val="00EE16BA"/>
    <w:rsid w:val="00EE6D01"/>
    <w:rsid w:val="00F07BFE"/>
    <w:rsid w:val="00F106C0"/>
    <w:rsid w:val="00F14E5C"/>
    <w:rsid w:val="00F22251"/>
    <w:rsid w:val="00F25316"/>
    <w:rsid w:val="00F2661B"/>
    <w:rsid w:val="00F35C24"/>
    <w:rsid w:val="00F3668E"/>
    <w:rsid w:val="00F640D9"/>
    <w:rsid w:val="00F670DA"/>
    <w:rsid w:val="00F76866"/>
    <w:rsid w:val="00F837A5"/>
    <w:rsid w:val="00FB391E"/>
    <w:rsid w:val="00FC2455"/>
    <w:rsid w:val="00FC3200"/>
    <w:rsid w:val="00FC7650"/>
    <w:rsid w:val="00FD5AC0"/>
    <w:rsid w:val="00FD7437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2DCA8C80-498C-41C0-9ECA-01847C87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BDD"/>
  </w:style>
  <w:style w:type="paragraph" w:styleId="Titre1">
    <w:name w:val="heading 1"/>
    <w:basedOn w:val="Normal"/>
    <w:next w:val="Normal"/>
    <w:link w:val="Titre1Car"/>
    <w:uiPriority w:val="9"/>
    <w:qFormat/>
    <w:rsid w:val="00992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2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4E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A5C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122B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54E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22F"/>
  </w:style>
  <w:style w:type="paragraph" w:styleId="Pieddepage">
    <w:name w:val="footer"/>
    <w:basedOn w:val="Normal"/>
    <w:link w:val="Pieddepag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22F"/>
  </w:style>
  <w:style w:type="paragraph" w:styleId="Titre">
    <w:name w:val="Title"/>
    <w:basedOn w:val="Normal"/>
    <w:next w:val="Normal"/>
    <w:link w:val="TitreCar"/>
    <w:uiPriority w:val="10"/>
    <w:qFormat/>
    <w:rsid w:val="000022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22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222F"/>
    <w:rPr>
      <w:i/>
      <w:iCs/>
      <w:color w:val="5B9BD5" w:themeColor="accent1"/>
    </w:rPr>
  </w:style>
  <w:style w:type="character" w:styleId="Emphaseple">
    <w:name w:val="Subtle Emphasis"/>
    <w:basedOn w:val="Policepardfaut"/>
    <w:uiPriority w:val="19"/>
    <w:qFormat/>
    <w:rsid w:val="0000222F"/>
    <w:rPr>
      <w:i/>
      <w:iCs/>
      <w:color w:val="404040" w:themeColor="text1" w:themeTint="BF"/>
    </w:rPr>
  </w:style>
  <w:style w:type="table" w:styleId="Grilledutableau">
    <w:name w:val="Table Grid"/>
    <w:basedOn w:val="TableauNormal"/>
    <w:uiPriority w:val="39"/>
    <w:rsid w:val="0028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6FF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224A7"/>
    <w:rPr>
      <w:color w:val="808080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rsid w:val="00CA08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A5C1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6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76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762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Primo/Release_Notes/2019/001Primo_2019_Release_Notes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github.com/citation-style-language/styles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140EDFA42749DCA90E4D7A91410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A7C54-56E8-423A-BD2E-5E39C7B3D838}"/>
      </w:docPartPr>
      <w:docPartBody>
        <w:p w:rsidR="006E63FF" w:rsidRDefault="006E63FF" w:rsidP="006E63FF">
          <w:pPr>
            <w:pStyle w:val="1F140EDFA42749DCA90E4D7A91410D16"/>
          </w:pPr>
          <w:r>
            <w:rPr>
              <w:color w:val="5B9BD5" w:themeColor="accent1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FF"/>
    <w:rsid w:val="00253EAA"/>
    <w:rsid w:val="006E63FF"/>
    <w:rsid w:val="006E761A"/>
    <w:rsid w:val="00B20AE5"/>
    <w:rsid w:val="00E22BFD"/>
    <w:rsid w:val="00F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645C7CAF90648A9B5CE41C5832E3BAA">
    <w:name w:val="A645C7CAF90648A9B5CE41C5832E3BAA"/>
    <w:rsid w:val="006E63FF"/>
  </w:style>
  <w:style w:type="paragraph" w:customStyle="1" w:styleId="1F140EDFA42749DCA90E4D7A91410D16">
    <w:name w:val="1F140EDFA42749DCA90E4D7A91410D16"/>
    <w:rsid w:val="006E6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50E26-E396-412A-960C-707E5EB9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version Primo – Premier trimestre</vt:lpstr>
    </vt:vector>
  </TitlesOfParts>
  <Company>Microsoft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version Primo – Premier trimestre 2019</dc:title>
  <dc:subject/>
  <dc:creator>Loïc Ducasse</dc:creator>
  <cp:keywords/>
  <dc:description/>
  <cp:lastModifiedBy>Loïc Ducasse</cp:lastModifiedBy>
  <cp:revision>3</cp:revision>
  <dcterms:created xsi:type="dcterms:W3CDTF">2019-04-25T16:43:00Z</dcterms:created>
  <dcterms:modified xsi:type="dcterms:W3CDTF">2019-04-25T16:43:00Z</dcterms:modified>
</cp:coreProperties>
</file>