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E32A" w14:textId="77777777" w:rsidR="00D50587" w:rsidRDefault="00117E9B" w:rsidP="0000222F">
      <w:pPr>
        <w:pStyle w:val="Citationintense"/>
        <w:rPr>
          <w:rStyle w:val="Emphaseple"/>
          <w:b/>
          <w:sz w:val="56"/>
        </w:rPr>
      </w:pPr>
      <w:bookmarkStart w:id="0" w:name="_Hlk37953237"/>
      <w:r>
        <w:rPr>
          <w:rStyle w:val="Emphaseple"/>
          <w:b/>
          <w:sz w:val="56"/>
        </w:rPr>
        <w:t>Note de version Alma –</w:t>
      </w:r>
      <w:r w:rsidR="00B62FD4">
        <w:rPr>
          <w:rStyle w:val="Emphaseple"/>
          <w:b/>
          <w:sz w:val="56"/>
        </w:rPr>
        <w:t xml:space="preserve">  </w:t>
      </w:r>
    </w:p>
    <w:p w14:paraId="34D27549" w14:textId="4B321BF4" w:rsidR="009922B4" w:rsidRPr="0000222F" w:rsidRDefault="00484B5D" w:rsidP="0000222F">
      <w:pPr>
        <w:pStyle w:val="Citationintense"/>
        <w:rPr>
          <w:rStyle w:val="Emphaseple"/>
          <w:b/>
          <w:sz w:val="56"/>
        </w:rPr>
      </w:pPr>
      <w:r>
        <w:rPr>
          <w:rStyle w:val="Emphaseple"/>
          <w:b/>
          <w:sz w:val="56"/>
        </w:rPr>
        <w:t>Mai</w:t>
      </w:r>
      <w:r w:rsidR="008D47B2">
        <w:rPr>
          <w:rStyle w:val="Emphaseple"/>
          <w:b/>
          <w:sz w:val="56"/>
        </w:rPr>
        <w:t xml:space="preserve"> 2022</w:t>
      </w:r>
    </w:p>
    <w:p w14:paraId="08EA3FC0" w14:textId="77777777" w:rsidR="004B003B" w:rsidRDefault="004B003B" w:rsidP="004B003B"/>
    <w:p w14:paraId="6F6F19BE" w14:textId="1AC27906" w:rsidR="003C33C9" w:rsidRDefault="009868D5" w:rsidP="008262BD">
      <w:pPr>
        <w:jc w:val="both"/>
      </w:pPr>
      <w:r w:rsidRPr="00270474">
        <w:rPr>
          <w:rFonts w:ascii="Helvetica" w:hAnsi="Helvetica" w:cs="Helvetica"/>
          <w:sz w:val="16"/>
          <w:szCs w:val="16"/>
        </w:rPr>
        <w:t>Source :</w:t>
      </w:r>
      <w:bookmarkStart w:id="1" w:name="_Hlk37951315"/>
      <w:r w:rsidR="003C33C9">
        <w:rPr>
          <w:rFonts w:ascii="Helvetica" w:hAnsi="Helvetica" w:cs="Helvetica"/>
          <w:sz w:val="16"/>
          <w:szCs w:val="16"/>
        </w:rPr>
        <w:t xml:space="preserve"> </w:t>
      </w:r>
      <w:hyperlink r:id="rId8" w:history="1">
        <w:r w:rsidR="00484B5D" w:rsidRPr="00F06229">
          <w:rPr>
            <w:rStyle w:val="Lienhypertexte"/>
            <w:sz w:val="18"/>
            <w:szCs w:val="18"/>
          </w:rPr>
          <w:t>https://knowledge.exlibrisgroup.com/Alma/Release_Notes/2022/Alma_2022_Release_Notes?mon=202205BASE</w:t>
        </w:r>
      </w:hyperlink>
    </w:p>
    <w:p w14:paraId="2829D917" w14:textId="77777777" w:rsidR="00D065E8" w:rsidRDefault="00D065E8" w:rsidP="008262BD">
      <w:pPr>
        <w:jc w:val="both"/>
        <w:rPr>
          <w:rStyle w:val="Lienhypertexte"/>
          <w:sz w:val="18"/>
          <w:szCs w:val="18"/>
        </w:rPr>
      </w:pPr>
    </w:p>
    <w:bookmarkEnd w:id="0"/>
    <w:bookmarkEnd w:id="1"/>
    <w:p w14:paraId="319CD436" w14:textId="638D5AB5" w:rsidR="00AE5827" w:rsidRDefault="00AE5827" w:rsidP="00AE5827">
      <w:pPr>
        <w:keepNext/>
        <w:keepLines/>
        <w:spacing w:before="240" w:after="0"/>
        <w:jc w:val="both"/>
        <w:outlineLvl w:val="0"/>
        <w:rPr>
          <w:rFonts w:eastAsiaTheme="majorEastAsia" w:cstheme="majorBidi"/>
          <w:sz w:val="40"/>
          <w:szCs w:val="32"/>
        </w:rPr>
      </w:pPr>
      <w:r>
        <w:rPr>
          <w:rFonts w:eastAsiaTheme="majorEastAsia" w:cstheme="majorBidi"/>
          <w:sz w:val="40"/>
          <w:szCs w:val="32"/>
        </w:rPr>
        <w:t>Administration</w:t>
      </w:r>
    </w:p>
    <w:p w14:paraId="6885EC76" w14:textId="3178F525" w:rsidR="00AE5827" w:rsidRPr="00852F4F" w:rsidRDefault="00AE5827" w:rsidP="00AE5827">
      <w:pPr>
        <w:jc w:val="both"/>
        <w:rPr>
          <w:rFonts w:eastAsia="Times New Roman" w:cstheme="minorHAnsi"/>
          <w:color w:val="000000"/>
          <w:sz w:val="32"/>
          <w:szCs w:val="32"/>
          <w:lang w:eastAsia="fr-FR"/>
        </w:rPr>
      </w:pPr>
      <w:r>
        <w:rPr>
          <w:rFonts w:eastAsia="Times New Roman" w:cstheme="minorHAnsi"/>
          <w:color w:val="000000"/>
          <w:sz w:val="32"/>
          <w:szCs w:val="32"/>
          <w:lang w:eastAsia="fr-FR"/>
        </w:rPr>
        <w:t>Traduction des types de traitement</w:t>
      </w:r>
    </w:p>
    <w:p w14:paraId="078303DC" w14:textId="10199FB7" w:rsidR="00AE5827" w:rsidRDefault="00AE5827" w:rsidP="00AE5827">
      <w:p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Les intitulés des types de traitement interne peuvent désormais être traduits de la même manière que les intitulés des localisations. </w:t>
      </w:r>
    </w:p>
    <w:p w14:paraId="2AD7F160" w14:textId="77777777" w:rsidR="00AE5827" w:rsidRDefault="00AE5827" w:rsidP="00AE5827">
      <w:pPr>
        <w:jc w:val="both"/>
        <w:rPr>
          <w:rFonts w:ascii="Helvetica" w:hAnsi="Helvetica"/>
          <w:sz w:val="20"/>
          <w:szCs w:val="20"/>
        </w:rPr>
      </w:pPr>
    </w:p>
    <w:p w14:paraId="2131B1D0" w14:textId="77777777" w:rsidR="00AE5827" w:rsidRDefault="00AE5827" w:rsidP="00AE5827">
      <w:pPr>
        <w:jc w:val="both"/>
        <w:rPr>
          <w:rFonts w:ascii="Helvetica" w:hAnsi="Helvetica"/>
          <w:sz w:val="20"/>
          <w:szCs w:val="20"/>
        </w:rPr>
      </w:pPr>
    </w:p>
    <w:p w14:paraId="4CD498C8" w14:textId="77777777" w:rsidR="00AE5827" w:rsidRDefault="00AE5827">
      <w:pPr>
        <w:rPr>
          <w:rFonts w:eastAsiaTheme="majorEastAsia" w:cstheme="majorBidi"/>
          <w:sz w:val="40"/>
          <w:szCs w:val="32"/>
        </w:rPr>
      </w:pPr>
      <w:r>
        <w:rPr>
          <w:rFonts w:eastAsiaTheme="majorEastAsia" w:cstheme="majorBidi"/>
          <w:sz w:val="40"/>
          <w:szCs w:val="32"/>
        </w:rPr>
        <w:br w:type="page"/>
      </w:r>
    </w:p>
    <w:p w14:paraId="4935F5BF" w14:textId="16A4D6E4" w:rsidR="003F21FE" w:rsidRDefault="003F21FE" w:rsidP="003F21FE">
      <w:pPr>
        <w:keepNext/>
        <w:keepLines/>
        <w:spacing w:before="240" w:after="0"/>
        <w:jc w:val="both"/>
        <w:outlineLvl w:val="0"/>
        <w:rPr>
          <w:rFonts w:eastAsiaTheme="majorEastAsia" w:cstheme="majorBidi"/>
          <w:sz w:val="40"/>
          <w:szCs w:val="32"/>
        </w:rPr>
      </w:pPr>
      <w:r>
        <w:rPr>
          <w:rFonts w:eastAsiaTheme="majorEastAsia" w:cstheme="majorBidi"/>
          <w:sz w:val="40"/>
          <w:szCs w:val="32"/>
        </w:rPr>
        <w:lastRenderedPageBreak/>
        <w:t>Acquisitions</w:t>
      </w:r>
    </w:p>
    <w:p w14:paraId="36217F2C" w14:textId="195EF204" w:rsidR="003F21FE" w:rsidRPr="00852F4F" w:rsidRDefault="00484B5D" w:rsidP="003F21FE">
      <w:pPr>
        <w:jc w:val="both"/>
        <w:rPr>
          <w:rFonts w:eastAsia="Times New Roman" w:cstheme="minorHAnsi"/>
          <w:color w:val="000000"/>
          <w:sz w:val="32"/>
          <w:szCs w:val="32"/>
          <w:lang w:eastAsia="fr-FR"/>
        </w:rPr>
      </w:pPr>
      <w:r>
        <w:rPr>
          <w:rFonts w:eastAsia="Times New Roman" w:cstheme="minorHAnsi"/>
          <w:color w:val="000000"/>
          <w:sz w:val="32"/>
          <w:szCs w:val="32"/>
          <w:lang w:eastAsia="fr-FR"/>
        </w:rPr>
        <w:t xml:space="preserve">Mise à jour automatique des lignes de commande de périodiques en cas de renouvellement d’abonnement depuis </w:t>
      </w:r>
      <w:proofErr w:type="spellStart"/>
      <w:r>
        <w:rPr>
          <w:rFonts w:eastAsia="Times New Roman" w:cstheme="minorHAnsi"/>
          <w:color w:val="000000"/>
          <w:sz w:val="32"/>
          <w:szCs w:val="32"/>
          <w:lang w:eastAsia="fr-FR"/>
        </w:rPr>
        <w:t>Ebsconet</w:t>
      </w:r>
      <w:proofErr w:type="spellEnd"/>
    </w:p>
    <w:p w14:paraId="331E023F" w14:textId="1FC10F7B" w:rsidR="00484B5D" w:rsidRDefault="00484B5D" w:rsidP="003F21FE">
      <w:p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Une première intégration est désormais possible entre Alma et la plateforme </w:t>
      </w:r>
      <w:proofErr w:type="spellStart"/>
      <w:r>
        <w:rPr>
          <w:rFonts w:ascii="Helvetica" w:eastAsia="Times New Roman" w:hAnsi="Helvetica" w:cs="Helvetica"/>
          <w:color w:val="000000"/>
          <w:sz w:val="20"/>
          <w:szCs w:val="20"/>
          <w:lang w:eastAsia="fr-FR"/>
        </w:rPr>
        <w:t>Ebsconet</w:t>
      </w:r>
      <w:proofErr w:type="spellEnd"/>
      <w:r w:rsidR="00D66A50">
        <w:rPr>
          <w:rFonts w:ascii="Helvetica" w:eastAsia="Times New Roman" w:hAnsi="Helvetica" w:cs="Helvetica"/>
          <w:color w:val="000000"/>
          <w:sz w:val="20"/>
          <w:szCs w:val="20"/>
          <w:lang w:eastAsia="fr-FR"/>
        </w:rPr>
        <w:t>. Cette intégration permet de m</w:t>
      </w:r>
      <w:r>
        <w:rPr>
          <w:rFonts w:ascii="Helvetica" w:eastAsia="Times New Roman" w:hAnsi="Helvetica" w:cs="Helvetica"/>
          <w:color w:val="000000"/>
          <w:sz w:val="20"/>
          <w:szCs w:val="20"/>
          <w:lang w:eastAsia="fr-FR"/>
        </w:rPr>
        <w:t xml:space="preserve">ettre à jour de manière automatique les lignes de commande Alma correspondant à des abonnements renouvelés depuis </w:t>
      </w:r>
      <w:proofErr w:type="spellStart"/>
      <w:r>
        <w:rPr>
          <w:rFonts w:ascii="Helvetica" w:eastAsia="Times New Roman" w:hAnsi="Helvetica" w:cs="Helvetica"/>
          <w:color w:val="000000"/>
          <w:sz w:val="20"/>
          <w:szCs w:val="20"/>
          <w:lang w:eastAsia="fr-FR"/>
        </w:rPr>
        <w:t>Ebsconet</w:t>
      </w:r>
      <w:proofErr w:type="spellEnd"/>
      <w:r>
        <w:rPr>
          <w:rFonts w:ascii="Helvetica" w:eastAsia="Times New Roman" w:hAnsi="Helvetica" w:cs="Helvetica"/>
          <w:color w:val="000000"/>
          <w:sz w:val="20"/>
          <w:szCs w:val="20"/>
          <w:lang w:eastAsia="fr-FR"/>
        </w:rPr>
        <w:t xml:space="preserve">. Dans le détail, cette opération se traduit par la mise à jour du prix, de la date de renouvellement ainsi que d’une éventuelle note de renouvellement. Il est possible également de mettre à jour d’autres champs de la ligne de commande si les champs correspondants ont été préalablement configurés dans </w:t>
      </w:r>
      <w:proofErr w:type="spellStart"/>
      <w:r>
        <w:rPr>
          <w:rFonts w:ascii="Helvetica" w:eastAsia="Times New Roman" w:hAnsi="Helvetica" w:cs="Helvetica"/>
          <w:color w:val="000000"/>
          <w:sz w:val="20"/>
          <w:szCs w:val="20"/>
          <w:lang w:eastAsia="fr-FR"/>
        </w:rPr>
        <w:t>Ebsconet</w:t>
      </w:r>
      <w:proofErr w:type="spellEnd"/>
      <w:r>
        <w:rPr>
          <w:rFonts w:ascii="Helvetica" w:eastAsia="Times New Roman" w:hAnsi="Helvetica" w:cs="Helvetica"/>
          <w:color w:val="000000"/>
          <w:sz w:val="20"/>
          <w:szCs w:val="20"/>
          <w:lang w:eastAsia="fr-FR"/>
        </w:rPr>
        <w:t xml:space="preserve">. </w:t>
      </w:r>
    </w:p>
    <w:p w14:paraId="64A71547" w14:textId="6DB32CAB" w:rsidR="00484B5D" w:rsidRDefault="00484B5D" w:rsidP="003F21FE">
      <w:p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Cette intégration nécessite la mise en œuvre d’un certain nombre de prérequis techniques, tant du côté d’Alma que du côté d’</w:t>
      </w:r>
      <w:proofErr w:type="spellStart"/>
      <w:r>
        <w:rPr>
          <w:rFonts w:ascii="Helvetica" w:eastAsia="Times New Roman" w:hAnsi="Helvetica" w:cs="Helvetica"/>
          <w:color w:val="000000"/>
          <w:sz w:val="20"/>
          <w:szCs w:val="20"/>
          <w:lang w:eastAsia="fr-FR"/>
        </w:rPr>
        <w:t>Ebsco</w:t>
      </w:r>
      <w:proofErr w:type="spellEnd"/>
      <w:r>
        <w:rPr>
          <w:rFonts w:ascii="Helvetica" w:eastAsia="Times New Roman" w:hAnsi="Helvetica" w:cs="Helvetica"/>
          <w:color w:val="000000"/>
          <w:sz w:val="20"/>
          <w:szCs w:val="20"/>
          <w:lang w:eastAsia="fr-FR"/>
        </w:rPr>
        <w:t xml:space="preserve"> (activation dans </w:t>
      </w:r>
      <w:proofErr w:type="spellStart"/>
      <w:r>
        <w:rPr>
          <w:rFonts w:ascii="Helvetica" w:eastAsia="Times New Roman" w:hAnsi="Helvetica" w:cs="Helvetica"/>
          <w:color w:val="000000"/>
          <w:sz w:val="20"/>
          <w:szCs w:val="20"/>
          <w:lang w:eastAsia="fr-FR"/>
        </w:rPr>
        <w:t>Ebsconet</w:t>
      </w:r>
      <w:proofErr w:type="spellEnd"/>
      <w:r>
        <w:rPr>
          <w:rFonts w:ascii="Helvetica" w:eastAsia="Times New Roman" w:hAnsi="Helvetica" w:cs="Helvetica"/>
          <w:color w:val="000000"/>
          <w:sz w:val="20"/>
          <w:szCs w:val="20"/>
          <w:lang w:eastAsia="fr-FR"/>
        </w:rPr>
        <w:t xml:space="preserve"> de l’option « </w:t>
      </w:r>
      <w:r w:rsidRPr="005E088C">
        <w:rPr>
          <w:rFonts w:ascii="Helvetica" w:eastAsia="Times New Roman" w:hAnsi="Helvetica" w:cs="Helvetica"/>
          <w:i/>
          <w:color w:val="000000"/>
          <w:sz w:val="20"/>
          <w:szCs w:val="20"/>
          <w:lang w:eastAsia="fr-FR"/>
        </w:rPr>
        <w:t xml:space="preserve">ILS </w:t>
      </w:r>
      <w:proofErr w:type="spellStart"/>
      <w:r w:rsidRPr="005E088C">
        <w:rPr>
          <w:rFonts w:ascii="Helvetica" w:eastAsia="Times New Roman" w:hAnsi="Helvetica" w:cs="Helvetica"/>
          <w:i/>
          <w:color w:val="000000"/>
          <w:sz w:val="20"/>
          <w:szCs w:val="20"/>
          <w:lang w:eastAsia="fr-FR"/>
        </w:rPr>
        <w:t>integration</w:t>
      </w:r>
      <w:proofErr w:type="spellEnd"/>
      <w:r>
        <w:rPr>
          <w:rFonts w:ascii="Helvetica" w:eastAsia="Times New Roman" w:hAnsi="Helvetica" w:cs="Helvetica"/>
          <w:color w:val="000000"/>
          <w:sz w:val="20"/>
          <w:szCs w:val="20"/>
          <w:lang w:eastAsia="fr-FR"/>
        </w:rPr>
        <w:t> », génération</w:t>
      </w:r>
      <w:r w:rsidR="00D66A50">
        <w:rPr>
          <w:rFonts w:ascii="Helvetica" w:eastAsia="Times New Roman" w:hAnsi="Helvetica" w:cs="Helvetica"/>
          <w:color w:val="000000"/>
          <w:sz w:val="20"/>
          <w:szCs w:val="20"/>
          <w:lang w:eastAsia="fr-FR"/>
        </w:rPr>
        <w:t xml:space="preserve"> côté Alma</w:t>
      </w:r>
      <w:r>
        <w:rPr>
          <w:rFonts w:ascii="Helvetica" w:eastAsia="Times New Roman" w:hAnsi="Helvetica" w:cs="Helvetica"/>
          <w:color w:val="000000"/>
          <w:sz w:val="20"/>
          <w:szCs w:val="20"/>
          <w:lang w:eastAsia="fr-FR"/>
        </w:rPr>
        <w:t xml:space="preserve"> d’une clé d’API pour la mis</w:t>
      </w:r>
      <w:r w:rsidR="00D66A50">
        <w:rPr>
          <w:rFonts w:ascii="Helvetica" w:eastAsia="Times New Roman" w:hAnsi="Helvetica" w:cs="Helvetica"/>
          <w:color w:val="000000"/>
          <w:sz w:val="20"/>
          <w:szCs w:val="20"/>
          <w:lang w:eastAsia="fr-FR"/>
        </w:rPr>
        <w:t xml:space="preserve">e à jour des lignes de commande, renseignement </w:t>
      </w:r>
      <w:r>
        <w:rPr>
          <w:rFonts w:ascii="Helvetica" w:eastAsia="Times New Roman" w:hAnsi="Helvetica" w:cs="Helvetica"/>
          <w:color w:val="000000"/>
          <w:sz w:val="20"/>
          <w:szCs w:val="20"/>
          <w:lang w:eastAsia="fr-FR"/>
        </w:rPr>
        <w:t xml:space="preserve">de cette clé </w:t>
      </w:r>
      <w:r w:rsidR="00D66A50">
        <w:rPr>
          <w:rFonts w:ascii="Helvetica" w:eastAsia="Times New Roman" w:hAnsi="Helvetica" w:cs="Helvetica"/>
          <w:color w:val="000000"/>
          <w:sz w:val="20"/>
          <w:szCs w:val="20"/>
          <w:lang w:eastAsia="fr-FR"/>
        </w:rPr>
        <w:t xml:space="preserve">dans </w:t>
      </w:r>
      <w:proofErr w:type="spellStart"/>
      <w:r w:rsidR="00D66A50">
        <w:rPr>
          <w:rFonts w:ascii="Helvetica" w:eastAsia="Times New Roman" w:hAnsi="Helvetica" w:cs="Helvetica"/>
          <w:color w:val="000000"/>
          <w:sz w:val="20"/>
          <w:szCs w:val="20"/>
          <w:lang w:eastAsia="fr-FR"/>
        </w:rPr>
        <w:t>Ebsconet</w:t>
      </w:r>
      <w:proofErr w:type="spellEnd"/>
      <w:r>
        <w:rPr>
          <w:rFonts w:ascii="Helvetica" w:eastAsia="Times New Roman" w:hAnsi="Helvetica" w:cs="Helvetica"/>
          <w:color w:val="000000"/>
          <w:sz w:val="20"/>
          <w:szCs w:val="20"/>
          <w:lang w:eastAsia="fr-FR"/>
        </w:rPr>
        <w:t xml:space="preserve">). Elle requiert également que </w:t>
      </w:r>
      <w:r w:rsidR="00D66A50">
        <w:rPr>
          <w:rFonts w:ascii="Helvetica" w:eastAsia="Times New Roman" w:hAnsi="Helvetica" w:cs="Helvetica"/>
          <w:color w:val="000000"/>
          <w:sz w:val="20"/>
          <w:szCs w:val="20"/>
          <w:lang w:eastAsia="fr-FR"/>
        </w:rPr>
        <w:t xml:space="preserve">la ligne de commande Alma soit connue dans </w:t>
      </w:r>
      <w:proofErr w:type="spellStart"/>
      <w:r w:rsidR="00D66A50">
        <w:rPr>
          <w:rFonts w:ascii="Helvetica" w:eastAsia="Times New Roman" w:hAnsi="Helvetica" w:cs="Helvetica"/>
          <w:color w:val="000000"/>
          <w:sz w:val="20"/>
          <w:szCs w:val="20"/>
          <w:lang w:eastAsia="fr-FR"/>
        </w:rPr>
        <w:t>Ebsconet</w:t>
      </w:r>
      <w:proofErr w:type="spellEnd"/>
      <w:r w:rsidR="00D66A50">
        <w:rPr>
          <w:rFonts w:ascii="Helvetica" w:eastAsia="Times New Roman" w:hAnsi="Helvetica" w:cs="Helvetica"/>
          <w:color w:val="000000"/>
          <w:sz w:val="20"/>
          <w:szCs w:val="20"/>
          <w:lang w:eastAsia="fr-FR"/>
        </w:rPr>
        <w:t xml:space="preserve">, la correspondance se faisant sur cette valeur. </w:t>
      </w:r>
    </w:p>
    <w:p w14:paraId="73092437" w14:textId="77777777" w:rsidR="00D66A50" w:rsidRDefault="00D66A50" w:rsidP="00D66A50">
      <w:pPr>
        <w:jc w:val="both"/>
        <w:rPr>
          <w:rFonts w:ascii="Helvetica" w:hAnsi="Helvetica"/>
          <w:sz w:val="20"/>
          <w:szCs w:val="20"/>
        </w:rPr>
      </w:pPr>
    </w:p>
    <w:p w14:paraId="40BF4CDD" w14:textId="77777777" w:rsidR="00D66A50" w:rsidRDefault="00D66A50" w:rsidP="00D66A50">
      <w:pPr>
        <w:jc w:val="both"/>
        <w:rPr>
          <w:rFonts w:ascii="Helvetica" w:hAnsi="Helvetica"/>
          <w:sz w:val="20"/>
          <w:szCs w:val="20"/>
        </w:rPr>
      </w:pPr>
    </w:p>
    <w:p w14:paraId="1242688B" w14:textId="3CD42D7D" w:rsidR="00D66A50" w:rsidRDefault="00D66A50" w:rsidP="00D66A50">
      <w:pPr>
        <w:jc w:val="both"/>
        <w:rPr>
          <w:sz w:val="32"/>
          <w:szCs w:val="32"/>
        </w:rPr>
      </w:pPr>
      <w:r>
        <w:rPr>
          <w:sz w:val="32"/>
          <w:szCs w:val="32"/>
        </w:rPr>
        <w:t>Factures « Prêtes à être payées »</w:t>
      </w:r>
    </w:p>
    <w:p w14:paraId="7112300D" w14:textId="5D471B2C" w:rsidR="00D66A50" w:rsidRDefault="00D66A50" w:rsidP="00D66A50">
      <w:pPr>
        <w:jc w:val="both"/>
        <w:rPr>
          <w:rFonts w:ascii="Helvetica" w:hAnsi="Helvetica"/>
          <w:sz w:val="20"/>
          <w:szCs w:val="20"/>
        </w:rPr>
      </w:pPr>
      <w:r>
        <w:rPr>
          <w:rFonts w:ascii="Helvetica" w:hAnsi="Helvetica"/>
          <w:sz w:val="20"/>
          <w:szCs w:val="20"/>
        </w:rPr>
        <w:t>La section Réception et facturation du menu Acquisition d’Alma s’enrichit d’une nouvelle fonction, actuellement intitulée « </w:t>
      </w:r>
      <w:proofErr w:type="spellStart"/>
      <w:r w:rsidRPr="00D66A50">
        <w:rPr>
          <w:rFonts w:ascii="Helvetica" w:hAnsi="Helvetica"/>
          <w:i/>
          <w:sz w:val="20"/>
          <w:szCs w:val="20"/>
        </w:rPr>
        <w:t>Ready</w:t>
      </w:r>
      <w:proofErr w:type="spellEnd"/>
      <w:r w:rsidRPr="00D66A50">
        <w:rPr>
          <w:rFonts w:ascii="Helvetica" w:hAnsi="Helvetica"/>
          <w:i/>
          <w:sz w:val="20"/>
          <w:szCs w:val="20"/>
        </w:rPr>
        <w:t xml:space="preserve"> to </w:t>
      </w:r>
      <w:proofErr w:type="spellStart"/>
      <w:r w:rsidRPr="00D66A50">
        <w:rPr>
          <w:rFonts w:ascii="Helvetica" w:hAnsi="Helvetica"/>
          <w:i/>
          <w:sz w:val="20"/>
          <w:szCs w:val="20"/>
        </w:rPr>
        <w:t>be</w:t>
      </w:r>
      <w:proofErr w:type="spellEnd"/>
      <w:r w:rsidRPr="00D66A50">
        <w:rPr>
          <w:rFonts w:ascii="Helvetica" w:hAnsi="Helvetica"/>
          <w:i/>
          <w:sz w:val="20"/>
          <w:szCs w:val="20"/>
        </w:rPr>
        <w:t xml:space="preserve"> </w:t>
      </w:r>
      <w:proofErr w:type="spellStart"/>
      <w:r w:rsidRPr="00D66A50">
        <w:rPr>
          <w:rFonts w:ascii="Helvetica" w:hAnsi="Helvetica"/>
          <w:i/>
          <w:sz w:val="20"/>
          <w:szCs w:val="20"/>
        </w:rPr>
        <w:t>Paid</w:t>
      </w:r>
      <w:proofErr w:type="spellEnd"/>
      <w:r>
        <w:rPr>
          <w:rFonts w:ascii="Helvetica" w:hAnsi="Helvetica"/>
          <w:sz w:val="20"/>
          <w:szCs w:val="20"/>
        </w:rPr>
        <w:t xml:space="preserve"> ». Cette fonction permet d’accéder à la liste des factures en attente d’envoi vers le système de gestion financier et comptable de l’établissement (les factures, exportées à l’aide d’un traitement planifié, passent ensuite au statut « Sent to ERP »). </w:t>
      </w:r>
    </w:p>
    <w:p w14:paraId="27CE8CF9" w14:textId="121205FC" w:rsidR="00D66A50" w:rsidRDefault="00D66A50" w:rsidP="00D66A50">
      <w:pPr>
        <w:jc w:val="both"/>
        <w:rPr>
          <w:rFonts w:ascii="Helvetica" w:hAnsi="Helvetica"/>
          <w:sz w:val="20"/>
          <w:szCs w:val="20"/>
        </w:rPr>
      </w:pPr>
      <w:r>
        <w:rPr>
          <w:rFonts w:ascii="Helvetica" w:hAnsi="Helvetica"/>
          <w:sz w:val="20"/>
          <w:szCs w:val="20"/>
        </w:rPr>
        <w:t>Dans le contexte actuel de fonctionnement du réseau, cette nouvell</w:t>
      </w:r>
      <w:r w:rsidR="00D41063">
        <w:rPr>
          <w:rFonts w:ascii="Helvetica" w:hAnsi="Helvetica"/>
          <w:sz w:val="20"/>
          <w:szCs w:val="20"/>
        </w:rPr>
        <w:t xml:space="preserve">e fonction ne présente aucune </w:t>
      </w:r>
      <w:bookmarkStart w:id="2" w:name="_GoBack"/>
      <w:bookmarkEnd w:id="2"/>
      <w:r>
        <w:rPr>
          <w:rFonts w:ascii="Helvetica" w:hAnsi="Helvetica"/>
          <w:sz w:val="20"/>
          <w:szCs w:val="20"/>
        </w:rPr>
        <w:t xml:space="preserve">utilité et n’affichera donc jamais de factures si l’on clique dessus. Elle ne peut pas être masquée cependant. </w:t>
      </w:r>
    </w:p>
    <w:p w14:paraId="7357F796" w14:textId="77777777" w:rsidR="00D66A50" w:rsidRDefault="00D66A50" w:rsidP="00D66A50">
      <w:pPr>
        <w:jc w:val="both"/>
        <w:rPr>
          <w:rFonts w:ascii="Helvetica" w:hAnsi="Helvetica"/>
          <w:sz w:val="20"/>
          <w:szCs w:val="20"/>
        </w:rPr>
      </w:pPr>
    </w:p>
    <w:p w14:paraId="10C22F2E" w14:textId="77777777" w:rsidR="00D66A50" w:rsidRDefault="00D66A50" w:rsidP="00D66A50">
      <w:pPr>
        <w:jc w:val="both"/>
        <w:rPr>
          <w:rFonts w:ascii="Helvetica" w:hAnsi="Helvetica"/>
          <w:sz w:val="20"/>
          <w:szCs w:val="20"/>
        </w:rPr>
      </w:pPr>
    </w:p>
    <w:p w14:paraId="0498AA97" w14:textId="43C9EAA8" w:rsidR="00D66A50" w:rsidRDefault="00D66A50" w:rsidP="00D66A50">
      <w:pPr>
        <w:jc w:val="both"/>
        <w:rPr>
          <w:sz w:val="32"/>
          <w:szCs w:val="32"/>
        </w:rPr>
      </w:pPr>
      <w:r>
        <w:rPr>
          <w:sz w:val="32"/>
          <w:szCs w:val="32"/>
        </w:rPr>
        <w:t xml:space="preserve">Export de lignes de commande : </w:t>
      </w:r>
      <w:r w:rsidR="00804C13">
        <w:rPr>
          <w:sz w:val="32"/>
          <w:szCs w:val="32"/>
        </w:rPr>
        <w:t>nouveau champ</w:t>
      </w:r>
    </w:p>
    <w:p w14:paraId="6FD52324" w14:textId="56F7DBFC" w:rsidR="00D66A50" w:rsidRDefault="00804C13" w:rsidP="00D66A50">
      <w:pPr>
        <w:jc w:val="both"/>
        <w:rPr>
          <w:rFonts w:ascii="Helvetica" w:hAnsi="Helvetica"/>
          <w:sz w:val="20"/>
          <w:szCs w:val="20"/>
        </w:rPr>
      </w:pPr>
      <w:r>
        <w:rPr>
          <w:rFonts w:ascii="Helvetica" w:hAnsi="Helvetica"/>
          <w:sz w:val="20"/>
          <w:szCs w:val="20"/>
        </w:rPr>
        <w:t>L’export des lignes de commande au format Excel s’enrichit d’un nouveau champ : « </w:t>
      </w:r>
      <w:r w:rsidRPr="00EF3612">
        <w:rPr>
          <w:rFonts w:ascii="Helvetica" w:hAnsi="Helvetica"/>
          <w:i/>
          <w:sz w:val="20"/>
          <w:szCs w:val="20"/>
        </w:rPr>
        <w:t xml:space="preserve">Note to </w:t>
      </w:r>
      <w:proofErr w:type="spellStart"/>
      <w:r w:rsidRPr="00EF3612">
        <w:rPr>
          <w:rFonts w:ascii="Helvetica" w:hAnsi="Helvetica"/>
          <w:i/>
          <w:sz w:val="20"/>
          <w:szCs w:val="20"/>
        </w:rPr>
        <w:t>vendor</w:t>
      </w:r>
      <w:proofErr w:type="spellEnd"/>
      <w:r>
        <w:rPr>
          <w:rFonts w:ascii="Helvetica" w:hAnsi="Helvetica"/>
          <w:sz w:val="20"/>
          <w:szCs w:val="20"/>
        </w:rPr>
        <w:t xml:space="preserve"> » (cet intitulé n’est pas encore traduit), qui correspond au champ de la LBC qui était intitulé jusqu’à présent « Note au fournisseur » (ce champ a rebasculé en anglais avec cette version). </w:t>
      </w:r>
    </w:p>
    <w:p w14:paraId="527CB42A" w14:textId="77777777" w:rsidR="00D66A50" w:rsidRDefault="00D66A50" w:rsidP="00D66A50">
      <w:pPr>
        <w:jc w:val="both"/>
        <w:rPr>
          <w:rFonts w:eastAsiaTheme="majorEastAsia" w:cstheme="majorBidi"/>
          <w:sz w:val="40"/>
          <w:szCs w:val="32"/>
        </w:rPr>
      </w:pPr>
    </w:p>
    <w:p w14:paraId="16E04927" w14:textId="77777777" w:rsidR="00D66A50" w:rsidRDefault="00D66A50">
      <w:pPr>
        <w:rPr>
          <w:rFonts w:eastAsiaTheme="majorEastAsia" w:cstheme="majorBidi"/>
          <w:sz w:val="40"/>
          <w:szCs w:val="32"/>
        </w:rPr>
      </w:pPr>
    </w:p>
    <w:p w14:paraId="0E355463" w14:textId="77777777" w:rsidR="00D66A50" w:rsidRDefault="00D66A50">
      <w:pPr>
        <w:rPr>
          <w:rFonts w:eastAsiaTheme="majorEastAsia" w:cstheme="majorBidi"/>
          <w:sz w:val="40"/>
          <w:szCs w:val="32"/>
        </w:rPr>
      </w:pPr>
      <w:r>
        <w:rPr>
          <w:rFonts w:eastAsiaTheme="majorEastAsia" w:cstheme="majorBidi"/>
          <w:sz w:val="40"/>
          <w:szCs w:val="32"/>
        </w:rPr>
        <w:br w:type="page"/>
      </w:r>
    </w:p>
    <w:p w14:paraId="4C9AEC1A" w14:textId="07BA3950" w:rsidR="005E7730" w:rsidRPr="00E85728" w:rsidRDefault="005E7730" w:rsidP="005E7730">
      <w:pPr>
        <w:keepNext/>
        <w:keepLines/>
        <w:jc w:val="both"/>
        <w:outlineLvl w:val="0"/>
        <w:rPr>
          <w:rFonts w:eastAsiaTheme="majorEastAsia" w:cstheme="majorBidi"/>
          <w:sz w:val="40"/>
          <w:szCs w:val="32"/>
        </w:rPr>
      </w:pPr>
      <w:r>
        <w:rPr>
          <w:rFonts w:eastAsiaTheme="majorEastAsia" w:cstheme="majorBidi"/>
          <w:sz w:val="40"/>
          <w:szCs w:val="32"/>
        </w:rPr>
        <w:lastRenderedPageBreak/>
        <w:t>Gestion des données</w:t>
      </w:r>
    </w:p>
    <w:p w14:paraId="6E60773C" w14:textId="0631B61F" w:rsidR="005E7730" w:rsidRDefault="004B3749" w:rsidP="005E7730">
      <w:pPr>
        <w:jc w:val="both"/>
        <w:rPr>
          <w:sz w:val="32"/>
          <w:szCs w:val="32"/>
        </w:rPr>
      </w:pPr>
      <w:r>
        <w:rPr>
          <w:sz w:val="32"/>
          <w:szCs w:val="32"/>
        </w:rPr>
        <w:t>Création des règles d’indication à partir d’un formulaire</w:t>
      </w:r>
    </w:p>
    <w:p w14:paraId="41482661" w14:textId="3497FEF8" w:rsidR="004B3749" w:rsidRDefault="004B3749" w:rsidP="005E7730">
      <w:pPr>
        <w:jc w:val="both"/>
        <w:rPr>
          <w:rFonts w:ascii="Helvetica" w:hAnsi="Helvetica"/>
          <w:sz w:val="20"/>
          <w:szCs w:val="20"/>
        </w:rPr>
      </w:pPr>
      <w:r>
        <w:rPr>
          <w:rFonts w:ascii="Helvetica" w:hAnsi="Helvetica"/>
          <w:sz w:val="20"/>
          <w:szCs w:val="20"/>
        </w:rPr>
        <w:t>Les règles d’indication permettent, entre autres choses, de filtrer le contenu d’un jeu de résultats de type « Titres » (ou « Titres physiques » ou « Titres électroniques ») en fonction de la présence (ou de l’absence) de telle zone, tel sous-champ ou de telle valeur dans tel sous-champ.</w:t>
      </w:r>
      <w:r w:rsidR="00AD6859">
        <w:rPr>
          <w:rFonts w:ascii="Helvetica" w:hAnsi="Helvetica"/>
          <w:sz w:val="20"/>
          <w:szCs w:val="20"/>
        </w:rPr>
        <w:t xml:space="preserve"> Cela permet ainsi d’affiner les résultats de recherche, en palliant les éventuelles carences du formulaire de recherche avancé. </w:t>
      </w:r>
      <w:r>
        <w:rPr>
          <w:rFonts w:ascii="Helvetica" w:hAnsi="Helvetica"/>
          <w:sz w:val="20"/>
          <w:szCs w:val="20"/>
        </w:rPr>
        <w:t xml:space="preserve"> </w:t>
      </w:r>
    </w:p>
    <w:p w14:paraId="0D9802A4" w14:textId="74A65AFA" w:rsidR="004B3749" w:rsidRDefault="004B3749" w:rsidP="005E7730">
      <w:pPr>
        <w:jc w:val="both"/>
        <w:rPr>
          <w:rFonts w:ascii="Helvetica" w:hAnsi="Helvetica"/>
          <w:sz w:val="20"/>
          <w:szCs w:val="20"/>
        </w:rPr>
      </w:pPr>
      <w:r>
        <w:rPr>
          <w:rFonts w:ascii="Helvetica" w:hAnsi="Helvetica"/>
          <w:sz w:val="20"/>
          <w:szCs w:val="20"/>
        </w:rPr>
        <w:t xml:space="preserve">Jusqu’à présent, la création d’une règle d’indication était une opération complexe qui, en plus d’une bonne connaissance du format de données, nécessitait de maîtriser le langage de requête associé à cette fonction. </w:t>
      </w:r>
    </w:p>
    <w:p w14:paraId="2CFD2F3E" w14:textId="75160AB0" w:rsidR="004B3749" w:rsidRDefault="004B3749" w:rsidP="005E7730">
      <w:pPr>
        <w:jc w:val="both"/>
        <w:rPr>
          <w:rFonts w:ascii="Helvetica" w:hAnsi="Helvetica"/>
          <w:sz w:val="20"/>
          <w:szCs w:val="20"/>
        </w:rPr>
      </w:pPr>
      <w:r>
        <w:rPr>
          <w:rFonts w:ascii="Helvetica" w:hAnsi="Helvetica"/>
          <w:noProof/>
          <w:sz w:val="20"/>
          <w:szCs w:val="20"/>
          <w:lang w:eastAsia="fr-FR"/>
        </w:rPr>
        <w:drawing>
          <wp:inline distT="0" distB="0" distL="0" distR="0" wp14:anchorId="69A4F03B" wp14:editId="0488F08A">
            <wp:extent cx="5760720" cy="2048510"/>
            <wp:effectExtent l="0" t="0" r="0"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pera Instantané_2022-04-26_130344_univ-toulouse.alma.exlibrisgroup.co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048510"/>
                    </a:xfrm>
                    <a:prstGeom prst="rect">
                      <a:avLst/>
                    </a:prstGeom>
                  </pic:spPr>
                </pic:pic>
              </a:graphicData>
            </a:graphic>
          </wp:inline>
        </w:drawing>
      </w:r>
    </w:p>
    <w:p w14:paraId="1144536D" w14:textId="4AFA955C" w:rsidR="004B3749" w:rsidRDefault="004B3749" w:rsidP="005E7730">
      <w:pPr>
        <w:jc w:val="both"/>
        <w:rPr>
          <w:rFonts w:ascii="Helvetica" w:hAnsi="Helvetica"/>
          <w:sz w:val="20"/>
          <w:szCs w:val="20"/>
        </w:rPr>
      </w:pPr>
    </w:p>
    <w:p w14:paraId="0A40B91A" w14:textId="0EC8652A" w:rsidR="004B3749" w:rsidRDefault="004B3749" w:rsidP="005E7730">
      <w:pPr>
        <w:jc w:val="both"/>
        <w:rPr>
          <w:rFonts w:ascii="Helvetica" w:hAnsi="Helvetica"/>
          <w:sz w:val="20"/>
          <w:szCs w:val="20"/>
        </w:rPr>
      </w:pPr>
      <w:r>
        <w:rPr>
          <w:rFonts w:ascii="Helvetica" w:hAnsi="Helvetica"/>
          <w:sz w:val="20"/>
          <w:szCs w:val="20"/>
        </w:rPr>
        <w:t xml:space="preserve">Cette opération est désormais simplifiée par la possibilité de créer une telle règle à partir d’un formulaire. </w:t>
      </w:r>
    </w:p>
    <w:p w14:paraId="38DDBA90" w14:textId="51A6F573" w:rsidR="004B3749" w:rsidRDefault="004B3749" w:rsidP="005E7730">
      <w:pPr>
        <w:jc w:val="both"/>
        <w:rPr>
          <w:rFonts w:ascii="Helvetica" w:hAnsi="Helvetica"/>
          <w:sz w:val="20"/>
          <w:szCs w:val="20"/>
        </w:rPr>
      </w:pPr>
      <w:r>
        <w:rPr>
          <w:rFonts w:ascii="Helvetica" w:hAnsi="Helvetica"/>
          <w:noProof/>
          <w:sz w:val="20"/>
          <w:szCs w:val="20"/>
          <w:lang w:eastAsia="fr-FR"/>
        </w:rPr>
        <w:drawing>
          <wp:inline distT="0" distB="0" distL="0" distR="0" wp14:anchorId="0D232D53" wp14:editId="2B8182CD">
            <wp:extent cx="5760720" cy="2430780"/>
            <wp:effectExtent l="0" t="0" r="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pera Instantané_2022-04-26_130539_univ-toulouse-psb.alma.exlibrisgroup.co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430780"/>
                    </a:xfrm>
                    <a:prstGeom prst="rect">
                      <a:avLst/>
                    </a:prstGeom>
                  </pic:spPr>
                </pic:pic>
              </a:graphicData>
            </a:graphic>
          </wp:inline>
        </w:drawing>
      </w:r>
    </w:p>
    <w:p w14:paraId="76D9ABF4" w14:textId="3BEEED42" w:rsidR="00AD6859" w:rsidRDefault="00AD6859" w:rsidP="00AD6859">
      <w:pPr>
        <w:jc w:val="both"/>
        <w:rPr>
          <w:rFonts w:ascii="Helvetica" w:hAnsi="Helvetica"/>
          <w:sz w:val="20"/>
          <w:szCs w:val="20"/>
        </w:rPr>
      </w:pPr>
    </w:p>
    <w:p w14:paraId="5810D325" w14:textId="4D7CD170" w:rsidR="005E088C" w:rsidRDefault="005E088C" w:rsidP="00AD6859">
      <w:pPr>
        <w:jc w:val="both"/>
        <w:rPr>
          <w:rFonts w:ascii="Helvetica" w:hAnsi="Helvetica"/>
          <w:sz w:val="20"/>
          <w:szCs w:val="20"/>
        </w:rPr>
      </w:pPr>
      <w:r>
        <w:rPr>
          <w:rFonts w:ascii="Helvetica" w:hAnsi="Helvetica"/>
          <w:sz w:val="20"/>
          <w:szCs w:val="20"/>
        </w:rPr>
        <w:t xml:space="preserve">Il est à noter que les règles d’indication créées à l’aide de ce formulaire ne semblent pouvoir être utilisées que pour filtrer des jeux de résultats. Leur utilisation pour filtrer des notices au niveau d’un profil d’importation paraît, elle impossible, sous réserve de plus amples vérifications. </w:t>
      </w:r>
    </w:p>
    <w:p w14:paraId="17A6958C" w14:textId="77777777" w:rsidR="00AD6859" w:rsidRDefault="00AD6859" w:rsidP="00AD6859">
      <w:pPr>
        <w:jc w:val="both"/>
        <w:rPr>
          <w:rFonts w:ascii="Helvetica" w:hAnsi="Helvetica"/>
          <w:sz w:val="20"/>
          <w:szCs w:val="20"/>
        </w:rPr>
      </w:pPr>
    </w:p>
    <w:p w14:paraId="6CC3D088" w14:textId="61516A27" w:rsidR="00AD6859" w:rsidRDefault="00AD6859" w:rsidP="00AD6859">
      <w:pPr>
        <w:jc w:val="both"/>
        <w:rPr>
          <w:sz w:val="32"/>
          <w:szCs w:val="32"/>
        </w:rPr>
      </w:pPr>
      <w:proofErr w:type="spellStart"/>
      <w:r>
        <w:rPr>
          <w:sz w:val="32"/>
          <w:szCs w:val="32"/>
        </w:rPr>
        <w:t>Réindexation</w:t>
      </w:r>
      <w:proofErr w:type="spellEnd"/>
      <w:r>
        <w:rPr>
          <w:sz w:val="32"/>
          <w:szCs w:val="32"/>
        </w:rPr>
        <w:t xml:space="preserve"> semestrielle</w:t>
      </w:r>
    </w:p>
    <w:p w14:paraId="65B0A645" w14:textId="7ACAA2B5" w:rsidR="004B3749" w:rsidRDefault="00AD6859" w:rsidP="00AD6859">
      <w:pPr>
        <w:jc w:val="both"/>
        <w:rPr>
          <w:rFonts w:ascii="Helvetica" w:hAnsi="Helvetica"/>
          <w:sz w:val="20"/>
          <w:szCs w:val="20"/>
        </w:rPr>
      </w:pPr>
      <w:r>
        <w:rPr>
          <w:rFonts w:ascii="Helvetica" w:hAnsi="Helvetica"/>
          <w:sz w:val="20"/>
          <w:szCs w:val="20"/>
        </w:rPr>
        <w:lastRenderedPageBreak/>
        <w:t xml:space="preserve">Ex </w:t>
      </w:r>
      <w:proofErr w:type="spellStart"/>
      <w:r>
        <w:rPr>
          <w:rFonts w:ascii="Helvetica" w:hAnsi="Helvetica"/>
          <w:sz w:val="20"/>
          <w:szCs w:val="20"/>
        </w:rPr>
        <w:t>Libris</w:t>
      </w:r>
      <w:proofErr w:type="spellEnd"/>
      <w:r>
        <w:rPr>
          <w:rFonts w:ascii="Helvetica" w:hAnsi="Helvetica"/>
          <w:sz w:val="20"/>
          <w:szCs w:val="20"/>
        </w:rPr>
        <w:t xml:space="preserve"> procèdera au mois de mai a une </w:t>
      </w:r>
      <w:proofErr w:type="spellStart"/>
      <w:r>
        <w:rPr>
          <w:rFonts w:ascii="Helvetica" w:hAnsi="Helvetica"/>
          <w:sz w:val="20"/>
          <w:szCs w:val="20"/>
        </w:rPr>
        <w:t>réindexation</w:t>
      </w:r>
      <w:proofErr w:type="spellEnd"/>
      <w:r>
        <w:rPr>
          <w:rFonts w:ascii="Helvetica" w:hAnsi="Helvetica"/>
          <w:sz w:val="20"/>
          <w:szCs w:val="20"/>
        </w:rPr>
        <w:t xml:space="preserve"> de la base. Cette </w:t>
      </w:r>
      <w:proofErr w:type="spellStart"/>
      <w:r>
        <w:rPr>
          <w:rFonts w:ascii="Helvetica" w:hAnsi="Helvetica"/>
          <w:sz w:val="20"/>
          <w:szCs w:val="20"/>
        </w:rPr>
        <w:t>réindexation</w:t>
      </w:r>
      <w:proofErr w:type="spellEnd"/>
      <w:r>
        <w:rPr>
          <w:rFonts w:ascii="Helvetica" w:hAnsi="Helvetica"/>
          <w:sz w:val="20"/>
          <w:szCs w:val="20"/>
        </w:rPr>
        <w:t xml:space="preserve"> permettra de rendre applicable aux notices déjà présentes dans celle-ci les dernières évolutions du format </w:t>
      </w:r>
      <w:proofErr w:type="spellStart"/>
      <w:r>
        <w:rPr>
          <w:rFonts w:ascii="Helvetica" w:hAnsi="Helvetica"/>
          <w:sz w:val="20"/>
          <w:szCs w:val="20"/>
        </w:rPr>
        <w:t>Unimarc</w:t>
      </w:r>
      <w:proofErr w:type="spellEnd"/>
      <w:r>
        <w:rPr>
          <w:rFonts w:ascii="Helvetica" w:hAnsi="Helvetica"/>
          <w:sz w:val="20"/>
          <w:szCs w:val="20"/>
        </w:rPr>
        <w:t xml:space="preserve">, introduites avec la version de mars. </w:t>
      </w:r>
    </w:p>
    <w:p w14:paraId="4C49EB7D" w14:textId="77777777" w:rsidR="00AD6859" w:rsidRDefault="00AD6859" w:rsidP="00AD6859">
      <w:pPr>
        <w:jc w:val="both"/>
        <w:rPr>
          <w:rFonts w:ascii="Helvetica" w:hAnsi="Helvetica"/>
          <w:sz w:val="20"/>
          <w:szCs w:val="20"/>
        </w:rPr>
      </w:pPr>
    </w:p>
    <w:p w14:paraId="4ADC0136" w14:textId="77777777" w:rsidR="00AD6859" w:rsidRDefault="00AD6859" w:rsidP="00AD6859">
      <w:pPr>
        <w:jc w:val="both"/>
        <w:rPr>
          <w:rFonts w:ascii="Helvetica" w:hAnsi="Helvetica"/>
          <w:sz w:val="20"/>
          <w:szCs w:val="20"/>
        </w:rPr>
      </w:pPr>
    </w:p>
    <w:p w14:paraId="7527568C" w14:textId="3ED86911" w:rsidR="00AD6859" w:rsidRDefault="00AD6859" w:rsidP="00AD6859">
      <w:pPr>
        <w:jc w:val="both"/>
        <w:rPr>
          <w:sz w:val="32"/>
          <w:szCs w:val="32"/>
        </w:rPr>
      </w:pPr>
      <w:r>
        <w:rPr>
          <w:sz w:val="32"/>
          <w:szCs w:val="32"/>
        </w:rPr>
        <w:t xml:space="preserve">Affectation d’un type de </w:t>
      </w:r>
      <w:r w:rsidR="00F31068">
        <w:rPr>
          <w:sz w:val="32"/>
          <w:szCs w:val="32"/>
        </w:rPr>
        <w:t>traitement</w:t>
      </w:r>
      <w:r>
        <w:rPr>
          <w:sz w:val="32"/>
          <w:szCs w:val="32"/>
        </w:rPr>
        <w:t xml:space="preserve"> à un lot d’exemplaires</w:t>
      </w:r>
    </w:p>
    <w:p w14:paraId="4AD10246" w14:textId="59770337" w:rsidR="00AD6859" w:rsidRDefault="00F31068" w:rsidP="00AD6859">
      <w:pPr>
        <w:jc w:val="both"/>
        <w:rPr>
          <w:rFonts w:ascii="Helvetica" w:hAnsi="Helvetica"/>
          <w:sz w:val="20"/>
          <w:szCs w:val="20"/>
        </w:rPr>
      </w:pPr>
      <w:r>
        <w:rPr>
          <w:rFonts w:ascii="Helvetica" w:hAnsi="Helvetica"/>
          <w:sz w:val="20"/>
          <w:szCs w:val="20"/>
        </w:rPr>
        <w:t>Les types de traitement configurés au niveau de l’institution peuvent désormais être affectés à un lot d’exemplaires à l’aide du traitement « </w:t>
      </w:r>
      <w:r w:rsidRPr="00F31068">
        <w:rPr>
          <w:rFonts w:ascii="Helvetica" w:hAnsi="Helvetica"/>
          <w:sz w:val="20"/>
          <w:szCs w:val="20"/>
        </w:rPr>
        <w:t>Changer les informations des exemplaires physiques</w:t>
      </w:r>
      <w:r>
        <w:rPr>
          <w:rFonts w:ascii="Helvetica" w:hAnsi="Helvetica"/>
          <w:sz w:val="20"/>
          <w:szCs w:val="20"/>
        </w:rPr>
        <w:t xml:space="preserve"> ». </w:t>
      </w:r>
    </w:p>
    <w:p w14:paraId="45C347B2" w14:textId="11225876" w:rsidR="00F31068" w:rsidRDefault="00F31068" w:rsidP="00F31068">
      <w:pPr>
        <w:jc w:val="center"/>
        <w:rPr>
          <w:rFonts w:ascii="Helvetica" w:hAnsi="Helvetica"/>
          <w:sz w:val="20"/>
          <w:szCs w:val="20"/>
        </w:rPr>
      </w:pPr>
      <w:r>
        <w:rPr>
          <w:rFonts w:ascii="Helvetica" w:hAnsi="Helvetica"/>
          <w:noProof/>
          <w:sz w:val="20"/>
          <w:szCs w:val="20"/>
          <w:lang w:eastAsia="fr-FR"/>
        </w:rPr>
        <w:drawing>
          <wp:inline distT="0" distB="0" distL="0" distR="0" wp14:anchorId="6DA85C4A" wp14:editId="0D096E16">
            <wp:extent cx="4349505" cy="984506"/>
            <wp:effectExtent l="0" t="0" r="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22-04-26_13563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49505" cy="984506"/>
                    </a:xfrm>
                    <a:prstGeom prst="rect">
                      <a:avLst/>
                    </a:prstGeom>
                  </pic:spPr>
                </pic:pic>
              </a:graphicData>
            </a:graphic>
          </wp:inline>
        </w:drawing>
      </w:r>
    </w:p>
    <w:p w14:paraId="2D4EDB0F" w14:textId="77777777" w:rsidR="00F31068" w:rsidRDefault="00F31068" w:rsidP="00AD6859">
      <w:pPr>
        <w:jc w:val="both"/>
        <w:rPr>
          <w:rFonts w:ascii="Helvetica" w:hAnsi="Helvetica"/>
          <w:sz w:val="20"/>
          <w:szCs w:val="20"/>
        </w:rPr>
      </w:pPr>
    </w:p>
    <w:p w14:paraId="16B4B70E" w14:textId="67019F09" w:rsidR="00F31068" w:rsidRDefault="00F31068" w:rsidP="00AD6859">
      <w:pPr>
        <w:jc w:val="both"/>
        <w:rPr>
          <w:rFonts w:ascii="Helvetica" w:hAnsi="Helvetica"/>
          <w:sz w:val="20"/>
          <w:szCs w:val="20"/>
        </w:rPr>
      </w:pPr>
      <w:r>
        <w:rPr>
          <w:rFonts w:ascii="Helvetica" w:hAnsi="Helvetica"/>
          <w:sz w:val="20"/>
          <w:szCs w:val="20"/>
        </w:rPr>
        <w:t xml:space="preserve">Le choix d’un traitement s’accompagne obligatoirement du choix d’un département, parmi ceux associés au type de traitement sélectionné. Lorsqu’un bureau de prêt est identifié comme gérant ce type de traitement, il est proposé dans ce menu, au même titre que le département d’origine. </w:t>
      </w:r>
    </w:p>
    <w:p w14:paraId="443EF7C2" w14:textId="0B2C6A06" w:rsidR="00C869AA" w:rsidRDefault="00B05EAF" w:rsidP="00AD6859">
      <w:pPr>
        <w:jc w:val="both"/>
        <w:rPr>
          <w:rFonts w:ascii="Helvetica" w:hAnsi="Helvetica"/>
          <w:sz w:val="20"/>
          <w:szCs w:val="20"/>
        </w:rPr>
      </w:pPr>
      <w:r>
        <w:rPr>
          <w:rFonts w:ascii="Helvetica" w:hAnsi="Helvetica"/>
          <w:sz w:val="20"/>
          <w:szCs w:val="20"/>
        </w:rPr>
        <w:t xml:space="preserve">On notera que cette opération recoupe en partie les possibilités offertes par le traitement « Créer des demandes de traitement interne », à ce détail près que </w:t>
      </w:r>
      <w:r w:rsidR="00F318F1">
        <w:rPr>
          <w:rFonts w:ascii="Helvetica" w:hAnsi="Helvetica"/>
          <w:sz w:val="20"/>
          <w:szCs w:val="20"/>
        </w:rPr>
        <w:t>ce dernier</w:t>
      </w:r>
      <w:r>
        <w:rPr>
          <w:rFonts w:ascii="Helvetica" w:hAnsi="Helvetica"/>
          <w:sz w:val="20"/>
          <w:szCs w:val="20"/>
        </w:rPr>
        <w:t xml:space="preserve"> permet d’appliquer également un traitement interne configuré au niveau d’une bibliothèque</w:t>
      </w:r>
      <w:r w:rsidR="00F318F1">
        <w:rPr>
          <w:rFonts w:ascii="Helvetica" w:hAnsi="Helvetica"/>
          <w:sz w:val="20"/>
          <w:szCs w:val="20"/>
        </w:rPr>
        <w:t>, et non de la seule institution</w:t>
      </w:r>
      <w:r>
        <w:rPr>
          <w:rFonts w:ascii="Helvetica" w:hAnsi="Helvetica"/>
          <w:sz w:val="20"/>
          <w:szCs w:val="20"/>
        </w:rPr>
        <w:t xml:space="preserve">. Par contre, l’utilisation du traitement de modification des exemplaires offre l’avantage de permettre d’ôter le traitement interne affecté à un lot d’exemplaires. Il fonctionne donc dans les deux sens pour mettre et pour enlever et pourra donc être utilisé facilement, par exemple, pour rendre indisponible tous les exemplaires d’une salle.  </w:t>
      </w:r>
    </w:p>
    <w:p w14:paraId="168343E3" w14:textId="207EC433" w:rsidR="00F31068" w:rsidRDefault="00C869AA" w:rsidP="00AD6859">
      <w:pPr>
        <w:jc w:val="both"/>
        <w:rPr>
          <w:rFonts w:ascii="Helvetica" w:hAnsi="Helvetica"/>
          <w:sz w:val="20"/>
          <w:szCs w:val="20"/>
        </w:rPr>
      </w:pPr>
      <w:r>
        <w:rPr>
          <w:rFonts w:ascii="Helvetica" w:hAnsi="Helvetica"/>
          <w:sz w:val="20"/>
          <w:szCs w:val="20"/>
        </w:rPr>
        <w:t>En complément à cela, un nouvel index a été ajouté, qui est provisoirement intitulé « </w:t>
      </w:r>
      <w:r w:rsidRPr="00EF3612">
        <w:rPr>
          <w:rFonts w:ascii="Helvetica" w:hAnsi="Helvetica"/>
          <w:i/>
          <w:sz w:val="20"/>
          <w:szCs w:val="20"/>
        </w:rPr>
        <w:t xml:space="preserve">In </w:t>
      </w:r>
      <w:proofErr w:type="spellStart"/>
      <w:r w:rsidRPr="00EF3612">
        <w:rPr>
          <w:rFonts w:ascii="Helvetica" w:hAnsi="Helvetica"/>
          <w:i/>
          <w:sz w:val="20"/>
          <w:szCs w:val="20"/>
        </w:rPr>
        <w:t>process</w:t>
      </w:r>
      <w:proofErr w:type="spellEnd"/>
      <w:r w:rsidRPr="00EF3612">
        <w:rPr>
          <w:rFonts w:ascii="Helvetica" w:hAnsi="Helvetica"/>
          <w:i/>
          <w:sz w:val="20"/>
          <w:szCs w:val="20"/>
        </w:rPr>
        <w:t xml:space="preserve"> type</w:t>
      </w:r>
      <w:r>
        <w:rPr>
          <w:rFonts w:ascii="Helvetica" w:hAnsi="Helvetica"/>
          <w:sz w:val="20"/>
          <w:szCs w:val="20"/>
        </w:rPr>
        <w:t> ». Cet index permet de rechercher les exemplaires porteurs d’un type de traitement interne parmi ceux créés au niveau de l’institution. Il s’ajoute à l’index « Type de processus », qui ne permettait jusqu’à présent que de rechercher les exemplaires porteurs du type de processus générique « En cours de traitement », sans distinction de</w:t>
      </w:r>
      <w:r w:rsidR="00B05EAF">
        <w:rPr>
          <w:rFonts w:ascii="Helvetica" w:hAnsi="Helvetica"/>
          <w:sz w:val="20"/>
          <w:szCs w:val="20"/>
        </w:rPr>
        <w:t>s</w:t>
      </w:r>
      <w:r>
        <w:rPr>
          <w:rFonts w:ascii="Helvetica" w:hAnsi="Helvetica"/>
          <w:sz w:val="20"/>
          <w:szCs w:val="20"/>
        </w:rPr>
        <w:t xml:space="preserve"> traitements internes</w:t>
      </w:r>
      <w:r w:rsidR="00B05EAF">
        <w:rPr>
          <w:rFonts w:ascii="Helvetica" w:hAnsi="Helvetica"/>
          <w:sz w:val="20"/>
          <w:szCs w:val="20"/>
        </w:rPr>
        <w:t xml:space="preserve"> rattachés</w:t>
      </w:r>
      <w:r>
        <w:rPr>
          <w:rFonts w:ascii="Helvetica" w:hAnsi="Helvetica"/>
          <w:sz w:val="20"/>
          <w:szCs w:val="20"/>
        </w:rPr>
        <w:t>. Un exemplaire porteur de l’un de ces types de traitement pourra donc être indifféremment recherché par l’un ou l’autre de ces index.</w:t>
      </w:r>
    </w:p>
    <w:p w14:paraId="269A7F41" w14:textId="125A0CF0" w:rsidR="00C869AA" w:rsidRDefault="00C869AA" w:rsidP="00AD6859">
      <w:pPr>
        <w:jc w:val="both"/>
        <w:rPr>
          <w:rFonts w:ascii="Helvetica" w:hAnsi="Helvetica"/>
          <w:sz w:val="20"/>
          <w:szCs w:val="20"/>
        </w:rPr>
      </w:pPr>
      <w:r>
        <w:rPr>
          <w:rFonts w:ascii="Helvetica" w:hAnsi="Helvetica"/>
          <w:noProof/>
          <w:sz w:val="20"/>
          <w:szCs w:val="20"/>
          <w:lang w:eastAsia="fr-FR"/>
        </w:rPr>
        <w:lastRenderedPageBreak/>
        <w:drawing>
          <wp:inline distT="0" distB="0" distL="0" distR="0" wp14:anchorId="23AF1BB8" wp14:editId="656DBA3F">
            <wp:extent cx="5760720" cy="3096895"/>
            <wp:effectExtent l="0" t="0" r="0" b="825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pera Instantané_2022-04-26_141142_univ-toulouse-psb.alma.exlibrisgroup.co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3096895"/>
                    </a:xfrm>
                    <a:prstGeom prst="rect">
                      <a:avLst/>
                    </a:prstGeom>
                  </pic:spPr>
                </pic:pic>
              </a:graphicData>
            </a:graphic>
          </wp:inline>
        </w:drawing>
      </w:r>
    </w:p>
    <w:p w14:paraId="65A89E63" w14:textId="27D76D3B" w:rsidR="00C869AA" w:rsidRDefault="00C869AA" w:rsidP="00AD6859">
      <w:pPr>
        <w:jc w:val="both"/>
        <w:rPr>
          <w:rFonts w:ascii="Helvetica" w:hAnsi="Helvetica"/>
          <w:sz w:val="20"/>
          <w:szCs w:val="20"/>
        </w:rPr>
      </w:pPr>
      <w:r>
        <w:rPr>
          <w:rFonts w:ascii="Helvetica" w:hAnsi="Helvetica"/>
          <w:sz w:val="20"/>
          <w:szCs w:val="20"/>
        </w:rPr>
        <w:t xml:space="preserve">Il est à noter que la même restriction s’applique ici : seuls les types de traitement créés au niveau de l’institution peuvent être recherchés à l’aide de ce nouvel index. </w:t>
      </w:r>
      <w:r w:rsidR="00B05EAF">
        <w:rPr>
          <w:rFonts w:ascii="Helvetica" w:hAnsi="Helvetica"/>
          <w:sz w:val="20"/>
          <w:szCs w:val="20"/>
        </w:rPr>
        <w:t>Les types de traitement « locaux » resteront noyés dans la masse des exemplaires porteurs du type de processus « En cours de traitement ». </w:t>
      </w:r>
    </w:p>
    <w:p w14:paraId="1998E23D" w14:textId="77777777" w:rsidR="00B05EAF" w:rsidRDefault="00B05EAF">
      <w:pPr>
        <w:rPr>
          <w:rFonts w:ascii="Helvetica" w:hAnsi="Helvetica" w:cs="Helvetica"/>
          <w:b/>
          <w:sz w:val="20"/>
          <w:szCs w:val="20"/>
        </w:rPr>
      </w:pPr>
      <w:r>
        <w:rPr>
          <w:rFonts w:ascii="Helvetica" w:hAnsi="Helvetica" w:cs="Helvetica"/>
          <w:b/>
          <w:sz w:val="20"/>
          <w:szCs w:val="20"/>
        </w:rPr>
        <w:br w:type="page"/>
      </w:r>
    </w:p>
    <w:p w14:paraId="3B44A5A6" w14:textId="69B8AAA9" w:rsidR="00B05EAF" w:rsidRPr="00E85728" w:rsidRDefault="00B05EAF" w:rsidP="00B05EAF">
      <w:pPr>
        <w:keepNext/>
        <w:keepLines/>
        <w:jc w:val="both"/>
        <w:outlineLvl w:val="0"/>
        <w:rPr>
          <w:rFonts w:eastAsiaTheme="majorEastAsia" w:cstheme="majorBidi"/>
          <w:sz w:val="40"/>
          <w:szCs w:val="32"/>
        </w:rPr>
      </w:pPr>
      <w:r>
        <w:rPr>
          <w:rFonts w:eastAsiaTheme="majorEastAsia" w:cstheme="majorBidi"/>
          <w:sz w:val="40"/>
          <w:szCs w:val="32"/>
        </w:rPr>
        <w:lastRenderedPageBreak/>
        <w:t>Ressources électroniques</w:t>
      </w:r>
    </w:p>
    <w:p w14:paraId="5393B290" w14:textId="4639E1BE" w:rsidR="00B05EAF" w:rsidRDefault="00B05EAF" w:rsidP="00B05EAF">
      <w:pPr>
        <w:jc w:val="both"/>
        <w:rPr>
          <w:sz w:val="32"/>
          <w:szCs w:val="32"/>
        </w:rPr>
      </w:pPr>
      <w:r>
        <w:rPr>
          <w:sz w:val="32"/>
          <w:szCs w:val="32"/>
        </w:rPr>
        <w:t>Mise à jour des collections électroniques par lot</w:t>
      </w:r>
    </w:p>
    <w:p w14:paraId="56816893" w14:textId="6DABBF4A" w:rsidR="005E7730" w:rsidRDefault="00B05EAF" w:rsidP="00B05EAF">
      <w:pPr>
        <w:jc w:val="both"/>
        <w:rPr>
          <w:rFonts w:ascii="Helvetica" w:hAnsi="Helvetica"/>
          <w:sz w:val="20"/>
          <w:szCs w:val="20"/>
        </w:rPr>
      </w:pPr>
      <w:r>
        <w:rPr>
          <w:rFonts w:ascii="Helvetica" w:hAnsi="Helvetica"/>
          <w:sz w:val="20"/>
          <w:szCs w:val="20"/>
        </w:rPr>
        <w:t>Un nouveau traitement est ajouté, qui permet de modifier un lot de collections électroniques : « </w:t>
      </w:r>
      <w:r w:rsidRPr="00EF3612">
        <w:rPr>
          <w:rFonts w:ascii="Helvetica" w:hAnsi="Helvetica"/>
          <w:i/>
          <w:sz w:val="20"/>
          <w:szCs w:val="20"/>
        </w:rPr>
        <w:t xml:space="preserve">Change </w:t>
      </w:r>
      <w:proofErr w:type="spellStart"/>
      <w:r w:rsidRPr="00EF3612">
        <w:rPr>
          <w:rFonts w:ascii="Helvetica" w:hAnsi="Helvetica"/>
          <w:i/>
          <w:sz w:val="20"/>
          <w:szCs w:val="20"/>
        </w:rPr>
        <w:t>Electronic</w:t>
      </w:r>
      <w:proofErr w:type="spellEnd"/>
      <w:r w:rsidRPr="00EF3612">
        <w:rPr>
          <w:rFonts w:ascii="Helvetica" w:hAnsi="Helvetica"/>
          <w:i/>
          <w:sz w:val="20"/>
          <w:szCs w:val="20"/>
        </w:rPr>
        <w:t xml:space="preserve"> Collection information</w:t>
      </w:r>
      <w:r>
        <w:rPr>
          <w:rFonts w:ascii="Helvetica" w:hAnsi="Helvetica"/>
          <w:sz w:val="20"/>
          <w:szCs w:val="20"/>
        </w:rPr>
        <w:t> » (intitulé provisoire). </w:t>
      </w:r>
    </w:p>
    <w:p w14:paraId="70D65FB5" w14:textId="1F68CE0D" w:rsidR="00931E52" w:rsidRDefault="00931E52" w:rsidP="00B05EAF">
      <w:pPr>
        <w:jc w:val="both"/>
        <w:rPr>
          <w:rFonts w:ascii="Helvetica" w:hAnsi="Helvetica"/>
          <w:sz w:val="20"/>
          <w:szCs w:val="20"/>
        </w:rPr>
      </w:pPr>
      <w:r>
        <w:rPr>
          <w:rFonts w:ascii="Helvetica" w:hAnsi="Helvetica"/>
          <w:noProof/>
          <w:sz w:val="20"/>
          <w:szCs w:val="20"/>
          <w:lang w:eastAsia="fr-FR"/>
        </w:rPr>
        <w:drawing>
          <wp:inline distT="0" distB="0" distL="0" distR="0" wp14:anchorId="12B59D65" wp14:editId="0A26676A">
            <wp:extent cx="5760720" cy="284797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pera Instantané_2022-04-26_143346_univ-toulouse-psb.alma.exlibrisgroup.co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2847975"/>
                    </a:xfrm>
                    <a:prstGeom prst="rect">
                      <a:avLst/>
                    </a:prstGeom>
                  </pic:spPr>
                </pic:pic>
              </a:graphicData>
            </a:graphic>
          </wp:inline>
        </w:drawing>
      </w:r>
    </w:p>
    <w:p w14:paraId="2CC01779" w14:textId="4A479510" w:rsidR="00931E52" w:rsidRDefault="00931E52" w:rsidP="00B05EAF">
      <w:pPr>
        <w:jc w:val="both"/>
        <w:rPr>
          <w:rFonts w:ascii="Helvetica" w:hAnsi="Helvetica"/>
          <w:sz w:val="20"/>
          <w:szCs w:val="20"/>
        </w:rPr>
      </w:pPr>
      <w:r>
        <w:rPr>
          <w:rFonts w:ascii="Helvetica" w:hAnsi="Helvetica"/>
          <w:sz w:val="20"/>
          <w:szCs w:val="20"/>
        </w:rPr>
        <w:t>Au contraire de l’extension « </w:t>
      </w:r>
      <w:r w:rsidRPr="00EF3612">
        <w:rPr>
          <w:rFonts w:ascii="Helvetica" w:hAnsi="Helvetica"/>
          <w:i/>
          <w:sz w:val="20"/>
          <w:szCs w:val="20"/>
        </w:rPr>
        <w:t>E-Collection Quick Update</w:t>
      </w:r>
      <w:r>
        <w:rPr>
          <w:rFonts w:ascii="Helvetica" w:hAnsi="Helvetica"/>
          <w:sz w:val="20"/>
          <w:szCs w:val="20"/>
        </w:rPr>
        <w:t xml:space="preserve"> », il permet de modifier jusqu’au service de texte intégral (y compris les informations relatives aux groupes d’inventaires). </w:t>
      </w:r>
    </w:p>
    <w:p w14:paraId="3E4F5EDF" w14:textId="7516C5C4" w:rsidR="00931E52" w:rsidRDefault="00931E52" w:rsidP="00B05EAF">
      <w:pPr>
        <w:jc w:val="both"/>
        <w:rPr>
          <w:rFonts w:ascii="Helvetica" w:hAnsi="Helvetica"/>
          <w:sz w:val="20"/>
          <w:szCs w:val="20"/>
        </w:rPr>
      </w:pPr>
      <w:r>
        <w:rPr>
          <w:rFonts w:ascii="Helvetica" w:hAnsi="Helvetica"/>
          <w:noProof/>
          <w:sz w:val="20"/>
          <w:szCs w:val="20"/>
          <w:lang w:eastAsia="fr-FR"/>
        </w:rPr>
        <w:drawing>
          <wp:inline distT="0" distB="0" distL="0" distR="0" wp14:anchorId="05ADF9B3" wp14:editId="4037F8F1">
            <wp:extent cx="5760720" cy="2834640"/>
            <wp:effectExtent l="0" t="0" r="0" b="381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pera Instantané_2022-04-26_143423_univ-toulouse-psb.alma.exlibrisgroup.co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834640"/>
                    </a:xfrm>
                    <a:prstGeom prst="rect">
                      <a:avLst/>
                    </a:prstGeom>
                  </pic:spPr>
                </pic:pic>
              </a:graphicData>
            </a:graphic>
          </wp:inline>
        </w:drawing>
      </w:r>
    </w:p>
    <w:p w14:paraId="7C1520B5" w14:textId="0CC0A40B" w:rsidR="00931E52" w:rsidRDefault="00931E52" w:rsidP="00B05EAF">
      <w:pPr>
        <w:jc w:val="both"/>
        <w:rPr>
          <w:rFonts w:ascii="Helvetica" w:eastAsiaTheme="majorEastAsia" w:hAnsi="Helvetica" w:cstheme="majorBidi"/>
          <w:sz w:val="20"/>
          <w:szCs w:val="20"/>
        </w:rPr>
      </w:pPr>
      <w:r>
        <w:rPr>
          <w:rFonts w:ascii="Helvetica" w:eastAsiaTheme="majorEastAsia" w:hAnsi="Helvetica" w:cstheme="majorBidi"/>
          <w:noProof/>
          <w:sz w:val="20"/>
          <w:szCs w:val="20"/>
          <w:lang w:eastAsia="fr-FR"/>
        </w:rPr>
        <w:drawing>
          <wp:inline distT="0" distB="0" distL="0" distR="0" wp14:anchorId="55620154" wp14:editId="71E7FDEA">
            <wp:extent cx="5760720" cy="229362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pera Instantané_2022-04-26_143533_univ-toulouse-psb.alma.exlibrisgroup.co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2293620"/>
                    </a:xfrm>
                    <a:prstGeom prst="rect">
                      <a:avLst/>
                    </a:prstGeom>
                  </pic:spPr>
                </pic:pic>
              </a:graphicData>
            </a:graphic>
          </wp:inline>
        </w:drawing>
      </w:r>
    </w:p>
    <w:p w14:paraId="799202F4" w14:textId="5238847C" w:rsidR="00931E52" w:rsidRDefault="00931E52" w:rsidP="00B05EAF">
      <w:pPr>
        <w:jc w:val="both"/>
        <w:rPr>
          <w:rFonts w:ascii="Helvetica" w:eastAsiaTheme="majorEastAsia" w:hAnsi="Helvetica" w:cstheme="majorBidi"/>
          <w:sz w:val="20"/>
          <w:szCs w:val="20"/>
        </w:rPr>
      </w:pPr>
    </w:p>
    <w:p w14:paraId="61B77C0B" w14:textId="3A9434F0" w:rsidR="00F54507" w:rsidRDefault="00931E52" w:rsidP="006D7560">
      <w:pPr>
        <w:jc w:val="both"/>
        <w:rPr>
          <w:rFonts w:ascii="Helvetica" w:eastAsiaTheme="majorEastAsia" w:hAnsi="Helvetica" w:cstheme="majorBidi"/>
          <w:sz w:val="20"/>
          <w:szCs w:val="20"/>
        </w:rPr>
      </w:pPr>
      <w:r>
        <w:rPr>
          <w:rFonts w:ascii="Helvetica" w:eastAsiaTheme="majorEastAsia" w:hAnsi="Helvetica" w:cstheme="majorBidi"/>
          <w:sz w:val="20"/>
          <w:szCs w:val="20"/>
        </w:rPr>
        <w:t xml:space="preserve">En revanche, le proxy n’est pas </w:t>
      </w:r>
      <w:proofErr w:type="spellStart"/>
      <w:r>
        <w:rPr>
          <w:rFonts w:ascii="Helvetica" w:eastAsiaTheme="majorEastAsia" w:hAnsi="Helvetica" w:cstheme="majorBidi"/>
          <w:sz w:val="20"/>
          <w:szCs w:val="20"/>
        </w:rPr>
        <w:t>ajoutable</w:t>
      </w:r>
      <w:proofErr w:type="spellEnd"/>
      <w:r>
        <w:rPr>
          <w:rFonts w:ascii="Helvetica" w:eastAsiaTheme="majorEastAsia" w:hAnsi="Helvetica" w:cstheme="majorBidi"/>
          <w:sz w:val="20"/>
          <w:szCs w:val="20"/>
        </w:rPr>
        <w:t xml:space="preserve"> au niveau de ce groupe, mais au niveau du champ « Proxy sélectionné » dans les « Informations de liens » du service de texte intégral. </w:t>
      </w:r>
      <w:r w:rsidR="00C7018F">
        <w:rPr>
          <w:rFonts w:ascii="Helvetica" w:eastAsiaTheme="majorEastAsia" w:hAnsi="Helvetica" w:cstheme="majorBidi"/>
          <w:sz w:val="20"/>
          <w:szCs w:val="20"/>
        </w:rPr>
        <w:br/>
      </w:r>
      <w:r w:rsidR="00C7018F" w:rsidRPr="004C0333">
        <w:rPr>
          <w:rFonts w:ascii="Helvetica" w:eastAsiaTheme="majorEastAsia" w:hAnsi="Helvetica" w:cstheme="majorBidi"/>
          <w:sz w:val="20"/>
          <w:szCs w:val="20"/>
        </w:rPr>
        <w:t>Ainsi</w:t>
      </w:r>
      <w:r w:rsidR="00EF3612">
        <w:rPr>
          <w:rFonts w:ascii="Helvetica" w:eastAsiaTheme="majorEastAsia" w:hAnsi="Helvetica" w:cstheme="majorBidi"/>
          <w:sz w:val="20"/>
          <w:szCs w:val="20"/>
        </w:rPr>
        <w:t xml:space="preserve">, dans le contexte de fonctionnement du réseau des bibliothèques de l’Université de Toulouse, il n’est pas recommandé d’affecter </w:t>
      </w:r>
      <w:r w:rsidR="006D7560" w:rsidRPr="004C0333">
        <w:rPr>
          <w:rFonts w:ascii="Helvetica" w:eastAsiaTheme="majorEastAsia" w:hAnsi="Helvetica" w:cstheme="majorBidi"/>
          <w:sz w:val="20"/>
          <w:szCs w:val="20"/>
        </w:rPr>
        <w:t xml:space="preserve">le proxy </w:t>
      </w:r>
      <w:r w:rsidR="00EF3612">
        <w:rPr>
          <w:rFonts w:ascii="Helvetica" w:eastAsiaTheme="majorEastAsia" w:hAnsi="Helvetica" w:cstheme="majorBidi"/>
          <w:sz w:val="20"/>
          <w:szCs w:val="20"/>
        </w:rPr>
        <w:t xml:space="preserve">à l’aide de ce traitement. Il faut toujours le renseigner </w:t>
      </w:r>
      <w:proofErr w:type="gramStart"/>
      <w:r w:rsidR="00EF3612">
        <w:rPr>
          <w:rFonts w:ascii="Helvetica" w:eastAsiaTheme="majorEastAsia" w:hAnsi="Helvetica" w:cstheme="majorBidi"/>
          <w:sz w:val="20"/>
          <w:szCs w:val="20"/>
        </w:rPr>
        <w:t xml:space="preserve">au </w:t>
      </w:r>
      <w:r w:rsidR="00C7018F" w:rsidRPr="004C0333">
        <w:rPr>
          <w:rFonts w:ascii="Helvetica" w:eastAsiaTheme="majorEastAsia" w:hAnsi="Helvetica" w:cstheme="majorBidi"/>
          <w:sz w:val="20"/>
          <w:szCs w:val="20"/>
        </w:rPr>
        <w:t xml:space="preserve"> niveau</w:t>
      </w:r>
      <w:proofErr w:type="gramEnd"/>
      <w:r w:rsidR="00C7018F" w:rsidRPr="004C0333">
        <w:rPr>
          <w:rFonts w:ascii="Helvetica" w:eastAsiaTheme="majorEastAsia" w:hAnsi="Helvetica" w:cstheme="majorBidi"/>
          <w:sz w:val="20"/>
          <w:szCs w:val="20"/>
        </w:rPr>
        <w:t xml:space="preserve"> des paramètres de groupe</w:t>
      </w:r>
      <w:r w:rsidR="00EF3612">
        <w:rPr>
          <w:rFonts w:ascii="Helvetica" w:eastAsiaTheme="majorEastAsia" w:hAnsi="Helvetica" w:cstheme="majorBidi"/>
          <w:sz w:val="20"/>
          <w:szCs w:val="20"/>
        </w:rPr>
        <w:t>, ce qui impose, par conséquent, de le faire à la main, collection par collection</w:t>
      </w:r>
      <w:r w:rsidR="00C7018F" w:rsidRPr="004C0333">
        <w:rPr>
          <w:rFonts w:ascii="Helvetica" w:eastAsiaTheme="majorEastAsia" w:hAnsi="Helvetica" w:cstheme="majorBidi"/>
          <w:sz w:val="20"/>
          <w:szCs w:val="20"/>
        </w:rPr>
        <w:t>.</w:t>
      </w:r>
      <w:r w:rsidR="006D7560">
        <w:rPr>
          <w:rFonts w:ascii="Helvetica" w:eastAsiaTheme="majorEastAsia" w:hAnsi="Helvetica" w:cstheme="majorBidi"/>
          <w:sz w:val="20"/>
          <w:szCs w:val="20"/>
        </w:rPr>
        <w:t xml:space="preserve"> </w:t>
      </w:r>
    </w:p>
    <w:p w14:paraId="14619FAB" w14:textId="6753D1A9" w:rsidR="00F54507" w:rsidRDefault="00F54507" w:rsidP="00F54507">
      <w:pPr>
        <w:jc w:val="both"/>
        <w:rPr>
          <w:rFonts w:ascii="Helvetica" w:eastAsiaTheme="majorEastAsia" w:hAnsi="Helvetica" w:cstheme="majorBidi"/>
          <w:sz w:val="20"/>
          <w:szCs w:val="20"/>
        </w:rPr>
      </w:pPr>
    </w:p>
    <w:p w14:paraId="0FC85E78" w14:textId="4993E141" w:rsidR="00F54507" w:rsidRPr="00466F96" w:rsidRDefault="004D7798" w:rsidP="00466F96">
      <w:pPr>
        <w:rPr>
          <w:sz w:val="32"/>
        </w:rPr>
      </w:pPr>
      <w:r w:rsidRPr="00466F96">
        <w:rPr>
          <w:sz w:val="32"/>
        </w:rPr>
        <w:t>Nouvelle action à la création d’un portfolio</w:t>
      </w:r>
    </w:p>
    <w:p w14:paraId="5EAF22F3" w14:textId="1FFA7225" w:rsidR="00F54507" w:rsidRPr="00F54507" w:rsidRDefault="00F54507" w:rsidP="00EF3612">
      <w:pPr>
        <w:jc w:val="both"/>
        <w:rPr>
          <w:rFonts w:ascii="Helvetica" w:eastAsiaTheme="majorEastAsia" w:hAnsi="Helvetica" w:cstheme="majorBidi"/>
          <w:sz w:val="20"/>
          <w:szCs w:val="20"/>
        </w:rPr>
      </w:pPr>
      <w:r w:rsidRPr="00F54507">
        <w:rPr>
          <w:rFonts w:ascii="Helvetica" w:eastAsiaTheme="majorEastAsia" w:hAnsi="Helvetica" w:cstheme="majorBidi"/>
          <w:sz w:val="20"/>
          <w:szCs w:val="20"/>
        </w:rPr>
        <w:t>Un</w:t>
      </w:r>
      <w:r w:rsidR="004D7798">
        <w:rPr>
          <w:rFonts w:ascii="Helvetica" w:eastAsiaTheme="majorEastAsia" w:hAnsi="Helvetica" w:cstheme="majorBidi"/>
          <w:sz w:val="20"/>
          <w:szCs w:val="20"/>
        </w:rPr>
        <w:t>e nouvelle action intitulée « </w:t>
      </w:r>
      <w:r w:rsidRPr="00F54507">
        <w:rPr>
          <w:rFonts w:ascii="Helvetica" w:eastAsiaTheme="majorEastAsia" w:hAnsi="Helvetica" w:cstheme="majorBidi"/>
          <w:sz w:val="20"/>
          <w:szCs w:val="20"/>
        </w:rPr>
        <w:t>Enregistrer et tester l'accès</w:t>
      </w:r>
      <w:r w:rsidR="004D7798">
        <w:rPr>
          <w:rFonts w:ascii="Helvetica" w:eastAsiaTheme="majorEastAsia" w:hAnsi="Helvetica" w:cstheme="majorBidi"/>
          <w:sz w:val="20"/>
          <w:szCs w:val="20"/>
        </w:rPr>
        <w:t> »</w:t>
      </w:r>
      <w:r w:rsidRPr="00F54507">
        <w:rPr>
          <w:rFonts w:ascii="Helvetica" w:eastAsiaTheme="majorEastAsia" w:hAnsi="Helvetica" w:cstheme="majorBidi"/>
          <w:sz w:val="20"/>
          <w:szCs w:val="20"/>
        </w:rPr>
        <w:t xml:space="preserve"> a été ajoutée </w:t>
      </w:r>
      <w:r w:rsidR="004D7798">
        <w:rPr>
          <w:rFonts w:ascii="Helvetica" w:eastAsiaTheme="majorEastAsia" w:hAnsi="Helvetica" w:cstheme="majorBidi"/>
          <w:sz w:val="20"/>
          <w:szCs w:val="20"/>
        </w:rPr>
        <w:t xml:space="preserve">sur le formulaire </w:t>
      </w:r>
      <w:r w:rsidRPr="00F54507">
        <w:rPr>
          <w:rFonts w:ascii="Helvetica" w:eastAsiaTheme="majorEastAsia" w:hAnsi="Helvetica" w:cstheme="majorBidi"/>
          <w:sz w:val="20"/>
          <w:szCs w:val="20"/>
        </w:rPr>
        <w:t>de cr</w:t>
      </w:r>
      <w:r w:rsidR="00673DE6">
        <w:rPr>
          <w:rFonts w:ascii="Helvetica" w:eastAsiaTheme="majorEastAsia" w:hAnsi="Helvetica" w:cstheme="majorBidi"/>
          <w:sz w:val="20"/>
          <w:szCs w:val="20"/>
        </w:rPr>
        <w:t>éation d'un nouveau portfolio</w:t>
      </w:r>
      <w:r w:rsidR="00EF3612">
        <w:rPr>
          <w:rFonts w:ascii="Helvetica" w:eastAsiaTheme="majorEastAsia" w:hAnsi="Helvetica" w:cstheme="majorBidi"/>
          <w:sz w:val="20"/>
          <w:szCs w:val="20"/>
        </w:rPr>
        <w:t>.</w:t>
      </w:r>
    </w:p>
    <w:p w14:paraId="4E852CBE" w14:textId="6E8107F8" w:rsidR="00F54507" w:rsidRDefault="004D7798" w:rsidP="00F54507">
      <w:pPr>
        <w:rPr>
          <w:rFonts w:ascii="Helvetica" w:eastAsiaTheme="majorEastAsia" w:hAnsi="Helvetica" w:cstheme="majorBidi"/>
          <w:sz w:val="20"/>
          <w:szCs w:val="20"/>
        </w:rPr>
      </w:pPr>
      <w:r w:rsidRPr="004D7798">
        <w:rPr>
          <w:rFonts w:ascii="Helvetica" w:eastAsiaTheme="majorEastAsia" w:hAnsi="Helvetica" w:cstheme="majorBidi"/>
          <w:noProof/>
          <w:sz w:val="20"/>
          <w:szCs w:val="20"/>
          <w:lang w:eastAsia="fr-FR"/>
        </w:rPr>
        <w:drawing>
          <wp:inline distT="0" distB="0" distL="0" distR="0" wp14:anchorId="76F35A32" wp14:editId="70D81D7B">
            <wp:extent cx="3835597" cy="3270418"/>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5597" cy="3270418"/>
                    </a:xfrm>
                    <a:prstGeom prst="rect">
                      <a:avLst/>
                    </a:prstGeom>
                  </pic:spPr>
                </pic:pic>
              </a:graphicData>
            </a:graphic>
          </wp:inline>
        </w:drawing>
      </w:r>
    </w:p>
    <w:p w14:paraId="671BB7D7" w14:textId="570B6C56" w:rsidR="004D7798" w:rsidRDefault="004D7798">
      <w:pPr>
        <w:rPr>
          <w:rFonts w:ascii="Helvetica" w:eastAsiaTheme="majorEastAsia" w:hAnsi="Helvetica" w:cstheme="majorBidi"/>
          <w:sz w:val="20"/>
          <w:szCs w:val="20"/>
        </w:rPr>
      </w:pPr>
      <w:r>
        <w:rPr>
          <w:rFonts w:ascii="Helvetica" w:eastAsiaTheme="majorEastAsia" w:hAnsi="Helvetica" w:cstheme="majorBidi"/>
          <w:sz w:val="20"/>
          <w:szCs w:val="20"/>
        </w:rPr>
        <w:br w:type="page"/>
      </w:r>
    </w:p>
    <w:p w14:paraId="6C47F5B5" w14:textId="37CEAE9B" w:rsidR="004D7798" w:rsidRDefault="004D7798" w:rsidP="00F54507">
      <w:pPr>
        <w:rPr>
          <w:rFonts w:ascii="Helvetica" w:eastAsiaTheme="majorEastAsia" w:hAnsi="Helvetica" w:cstheme="majorBidi"/>
          <w:sz w:val="20"/>
          <w:szCs w:val="20"/>
        </w:rPr>
      </w:pPr>
      <w:r w:rsidRPr="004D7798">
        <w:rPr>
          <w:rFonts w:ascii="Helvetica" w:eastAsiaTheme="majorEastAsia" w:hAnsi="Helvetica" w:cstheme="majorBidi"/>
          <w:noProof/>
          <w:sz w:val="20"/>
          <w:szCs w:val="20"/>
          <w:lang w:eastAsia="fr-FR"/>
        </w:rPr>
        <w:drawing>
          <wp:inline distT="0" distB="0" distL="0" distR="0" wp14:anchorId="19C336B8" wp14:editId="20038D6C">
            <wp:extent cx="6228471" cy="160655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34106" cy="1608004"/>
                    </a:xfrm>
                    <a:prstGeom prst="rect">
                      <a:avLst/>
                    </a:prstGeom>
                  </pic:spPr>
                </pic:pic>
              </a:graphicData>
            </a:graphic>
          </wp:inline>
        </w:drawing>
      </w:r>
    </w:p>
    <w:p w14:paraId="0F0D3CE3" w14:textId="77777777" w:rsidR="00673DE6" w:rsidRPr="00F54507" w:rsidRDefault="00673DE6" w:rsidP="00F54507">
      <w:pPr>
        <w:rPr>
          <w:rFonts w:ascii="Helvetica" w:eastAsiaTheme="majorEastAsia" w:hAnsi="Helvetica" w:cstheme="majorBidi"/>
          <w:sz w:val="20"/>
          <w:szCs w:val="20"/>
        </w:rPr>
      </w:pPr>
    </w:p>
    <w:p w14:paraId="66124844" w14:textId="7D44BFE0" w:rsidR="00F54507" w:rsidRPr="00F54507" w:rsidRDefault="004D7798" w:rsidP="00EF3612">
      <w:pPr>
        <w:jc w:val="both"/>
        <w:rPr>
          <w:rFonts w:ascii="Helvetica" w:eastAsiaTheme="majorEastAsia" w:hAnsi="Helvetica" w:cstheme="majorBidi"/>
          <w:sz w:val="20"/>
          <w:szCs w:val="20"/>
        </w:rPr>
      </w:pPr>
      <w:r>
        <w:rPr>
          <w:rFonts w:ascii="Helvetica" w:eastAsiaTheme="majorEastAsia" w:hAnsi="Helvetica" w:cstheme="majorBidi"/>
          <w:sz w:val="20"/>
          <w:szCs w:val="20"/>
        </w:rPr>
        <w:t xml:space="preserve">Cette fonctionnalité permet d'enregistrer le portfolio électronique </w:t>
      </w:r>
      <w:r w:rsidR="00F54507" w:rsidRPr="00F54507">
        <w:rPr>
          <w:rFonts w:ascii="Helvetica" w:eastAsiaTheme="majorEastAsia" w:hAnsi="Helvetica" w:cstheme="majorBidi"/>
          <w:sz w:val="20"/>
          <w:szCs w:val="20"/>
        </w:rPr>
        <w:t>nouvellement créé et de tester l'accès sim</w:t>
      </w:r>
      <w:r w:rsidR="004C0333">
        <w:rPr>
          <w:rFonts w:ascii="Helvetica" w:eastAsiaTheme="majorEastAsia" w:hAnsi="Helvetica" w:cstheme="majorBidi"/>
          <w:sz w:val="20"/>
          <w:szCs w:val="20"/>
        </w:rPr>
        <w:t xml:space="preserve">ultanément. Ce qui </w:t>
      </w:r>
      <w:r w:rsidR="00F54507" w:rsidRPr="00F54507">
        <w:rPr>
          <w:rFonts w:ascii="Helvetica" w:eastAsiaTheme="majorEastAsia" w:hAnsi="Helvetica" w:cstheme="majorBidi"/>
          <w:sz w:val="20"/>
          <w:szCs w:val="20"/>
        </w:rPr>
        <w:t xml:space="preserve">évite </w:t>
      </w:r>
      <w:r>
        <w:rPr>
          <w:rFonts w:ascii="Helvetica" w:eastAsiaTheme="majorEastAsia" w:hAnsi="Helvetica" w:cstheme="majorBidi"/>
          <w:sz w:val="20"/>
          <w:szCs w:val="20"/>
        </w:rPr>
        <w:t>donc</w:t>
      </w:r>
      <w:r w:rsidR="00F54507" w:rsidRPr="00F54507">
        <w:rPr>
          <w:rFonts w:ascii="Helvetica" w:eastAsiaTheme="majorEastAsia" w:hAnsi="Helvetica" w:cstheme="majorBidi"/>
          <w:sz w:val="20"/>
          <w:szCs w:val="20"/>
        </w:rPr>
        <w:t xml:space="preserve"> de de</w:t>
      </w:r>
      <w:r>
        <w:rPr>
          <w:rFonts w:ascii="Helvetica" w:eastAsiaTheme="majorEastAsia" w:hAnsi="Helvetica" w:cstheme="majorBidi"/>
          <w:sz w:val="20"/>
          <w:szCs w:val="20"/>
        </w:rPr>
        <w:t>voir enregistrer ce portfolio</w:t>
      </w:r>
      <w:r w:rsidR="00F54507" w:rsidRPr="00F54507">
        <w:rPr>
          <w:rFonts w:ascii="Helvetica" w:eastAsiaTheme="majorEastAsia" w:hAnsi="Helvetica" w:cstheme="majorBidi"/>
          <w:sz w:val="20"/>
          <w:szCs w:val="20"/>
        </w:rPr>
        <w:t xml:space="preserve"> </w:t>
      </w:r>
      <w:r w:rsidR="004C0333">
        <w:rPr>
          <w:rFonts w:ascii="Helvetica" w:eastAsiaTheme="majorEastAsia" w:hAnsi="Helvetica" w:cstheme="majorBidi"/>
          <w:sz w:val="20"/>
          <w:szCs w:val="20"/>
        </w:rPr>
        <w:t>puis d</w:t>
      </w:r>
      <w:r>
        <w:rPr>
          <w:rFonts w:ascii="Helvetica" w:eastAsiaTheme="majorEastAsia" w:hAnsi="Helvetica" w:cstheme="majorBidi"/>
          <w:sz w:val="20"/>
          <w:szCs w:val="20"/>
        </w:rPr>
        <w:t>e faire d’autre</w:t>
      </w:r>
      <w:r w:rsidR="00EF3612">
        <w:rPr>
          <w:rFonts w:ascii="Helvetica" w:eastAsiaTheme="majorEastAsia" w:hAnsi="Helvetica" w:cstheme="majorBidi"/>
          <w:sz w:val="20"/>
          <w:szCs w:val="20"/>
        </w:rPr>
        <w:t>s clics</w:t>
      </w:r>
      <w:r>
        <w:rPr>
          <w:rFonts w:ascii="Helvetica" w:eastAsiaTheme="majorEastAsia" w:hAnsi="Helvetica" w:cstheme="majorBidi"/>
          <w:sz w:val="20"/>
          <w:szCs w:val="20"/>
        </w:rPr>
        <w:t xml:space="preserve"> afin </w:t>
      </w:r>
      <w:r w:rsidR="00F54507" w:rsidRPr="00F54507">
        <w:rPr>
          <w:rFonts w:ascii="Helvetica" w:eastAsiaTheme="majorEastAsia" w:hAnsi="Helvetica" w:cstheme="majorBidi"/>
          <w:sz w:val="20"/>
          <w:szCs w:val="20"/>
        </w:rPr>
        <w:t>de tester l'accès dans une étape distincte.</w:t>
      </w:r>
    </w:p>
    <w:p w14:paraId="6447ED1E" w14:textId="77777777" w:rsidR="006D7560" w:rsidRPr="00F54507" w:rsidRDefault="006D7560" w:rsidP="00F54507">
      <w:pPr>
        <w:rPr>
          <w:rFonts w:ascii="Helvetica" w:eastAsiaTheme="majorEastAsia" w:hAnsi="Helvetica" w:cstheme="majorBidi"/>
          <w:sz w:val="20"/>
          <w:szCs w:val="20"/>
        </w:rPr>
      </w:pPr>
    </w:p>
    <w:p w14:paraId="561EB43B" w14:textId="77777777" w:rsidR="009245F6" w:rsidRDefault="009245F6">
      <w:pPr>
        <w:rPr>
          <w:rFonts w:eastAsiaTheme="majorEastAsia" w:cstheme="majorBidi"/>
          <w:sz w:val="40"/>
          <w:szCs w:val="32"/>
        </w:rPr>
      </w:pPr>
      <w:r>
        <w:rPr>
          <w:rFonts w:eastAsiaTheme="majorEastAsia" w:cstheme="majorBidi"/>
          <w:sz w:val="40"/>
          <w:szCs w:val="32"/>
        </w:rPr>
        <w:br w:type="page"/>
      </w:r>
    </w:p>
    <w:p w14:paraId="053D4B05" w14:textId="7C86B019" w:rsidR="00293FEB" w:rsidRPr="00E85728" w:rsidRDefault="00293FEB" w:rsidP="00293FEB">
      <w:pPr>
        <w:keepNext/>
        <w:keepLines/>
        <w:jc w:val="both"/>
        <w:outlineLvl w:val="0"/>
        <w:rPr>
          <w:rFonts w:eastAsiaTheme="majorEastAsia" w:cstheme="majorBidi"/>
          <w:sz w:val="40"/>
          <w:szCs w:val="32"/>
        </w:rPr>
      </w:pPr>
      <w:proofErr w:type="spellStart"/>
      <w:r>
        <w:rPr>
          <w:rFonts w:eastAsiaTheme="majorEastAsia" w:cstheme="majorBidi"/>
          <w:sz w:val="40"/>
          <w:szCs w:val="32"/>
        </w:rPr>
        <w:t>Analytics</w:t>
      </w:r>
      <w:proofErr w:type="spellEnd"/>
    </w:p>
    <w:p w14:paraId="1B73C0FB" w14:textId="0817E753" w:rsidR="00293FEB" w:rsidRDefault="00B44DB5" w:rsidP="00293FEB">
      <w:pPr>
        <w:jc w:val="both"/>
        <w:rPr>
          <w:sz w:val="32"/>
          <w:szCs w:val="32"/>
        </w:rPr>
      </w:pPr>
      <w:r>
        <w:rPr>
          <w:sz w:val="32"/>
          <w:szCs w:val="32"/>
        </w:rPr>
        <w:t xml:space="preserve">Ajout de nouveaux compteurs pour le domaine </w:t>
      </w:r>
      <w:proofErr w:type="spellStart"/>
      <w:r w:rsidRPr="00B44DB5">
        <w:rPr>
          <w:i/>
          <w:sz w:val="32"/>
          <w:szCs w:val="32"/>
        </w:rPr>
        <w:t>Titles</w:t>
      </w:r>
      <w:proofErr w:type="spellEnd"/>
    </w:p>
    <w:p w14:paraId="42BF1F92" w14:textId="0DC6E6A0" w:rsidR="00293FEB" w:rsidRDefault="00B44DB5" w:rsidP="00293FEB">
      <w:pPr>
        <w:jc w:val="both"/>
        <w:rPr>
          <w:rFonts w:ascii="Helvetica" w:hAnsi="Helvetica"/>
          <w:sz w:val="20"/>
          <w:szCs w:val="20"/>
        </w:rPr>
      </w:pPr>
      <w:r>
        <w:rPr>
          <w:rFonts w:ascii="Helvetica" w:hAnsi="Helvetica"/>
          <w:sz w:val="20"/>
          <w:szCs w:val="20"/>
        </w:rPr>
        <w:t xml:space="preserve">De nouveaux compteurs ont été ajoutés au domaine </w:t>
      </w:r>
      <w:proofErr w:type="spellStart"/>
      <w:r w:rsidRPr="00B44DB5">
        <w:rPr>
          <w:rFonts w:ascii="Helvetica" w:hAnsi="Helvetica"/>
          <w:i/>
          <w:sz w:val="20"/>
          <w:szCs w:val="20"/>
        </w:rPr>
        <w:t>Titles</w:t>
      </w:r>
      <w:proofErr w:type="spellEnd"/>
      <w:r>
        <w:rPr>
          <w:rFonts w:ascii="Helvetica" w:hAnsi="Helvetica"/>
          <w:sz w:val="20"/>
          <w:szCs w:val="20"/>
        </w:rPr>
        <w:t xml:space="preserve">, parmi lesquels le compteur </w:t>
      </w:r>
      <w:proofErr w:type="spellStart"/>
      <w:r w:rsidRPr="00B44DB5">
        <w:rPr>
          <w:rFonts w:ascii="Helvetica" w:hAnsi="Helvetica"/>
          <w:i/>
          <w:sz w:val="20"/>
          <w:szCs w:val="20"/>
        </w:rPr>
        <w:t>Number</w:t>
      </w:r>
      <w:proofErr w:type="spellEnd"/>
      <w:r w:rsidRPr="00B44DB5">
        <w:rPr>
          <w:rFonts w:ascii="Helvetica" w:hAnsi="Helvetica"/>
          <w:i/>
          <w:sz w:val="20"/>
          <w:szCs w:val="20"/>
        </w:rPr>
        <w:t xml:space="preserve"> of </w:t>
      </w:r>
      <w:proofErr w:type="spellStart"/>
      <w:r w:rsidRPr="00B44DB5">
        <w:rPr>
          <w:rFonts w:ascii="Helvetica" w:hAnsi="Helvetica"/>
          <w:i/>
          <w:sz w:val="20"/>
          <w:szCs w:val="20"/>
        </w:rPr>
        <w:t>Titles</w:t>
      </w:r>
      <w:proofErr w:type="spellEnd"/>
      <w:r w:rsidRPr="00B44DB5">
        <w:rPr>
          <w:rFonts w:ascii="Helvetica" w:hAnsi="Helvetica"/>
          <w:i/>
          <w:sz w:val="20"/>
          <w:szCs w:val="20"/>
        </w:rPr>
        <w:t xml:space="preserve"> </w:t>
      </w:r>
      <w:proofErr w:type="spellStart"/>
      <w:r w:rsidRPr="00B44DB5">
        <w:rPr>
          <w:rFonts w:ascii="Helvetica" w:hAnsi="Helvetica"/>
          <w:i/>
          <w:sz w:val="20"/>
          <w:szCs w:val="20"/>
        </w:rPr>
        <w:t>linked</w:t>
      </w:r>
      <w:proofErr w:type="spellEnd"/>
      <w:r w:rsidRPr="00B44DB5">
        <w:rPr>
          <w:rFonts w:ascii="Helvetica" w:hAnsi="Helvetica"/>
          <w:i/>
          <w:sz w:val="20"/>
          <w:szCs w:val="20"/>
        </w:rPr>
        <w:t xml:space="preserve"> to CZ</w:t>
      </w:r>
      <w:r>
        <w:rPr>
          <w:rFonts w:ascii="Helvetica" w:hAnsi="Helvetica"/>
          <w:sz w:val="20"/>
          <w:szCs w:val="20"/>
        </w:rPr>
        <w:t xml:space="preserve">, qui permet de faciliter le comptage des notices liées à la CZ parmi celles présentes dans la zone Institution. </w:t>
      </w:r>
    </w:p>
    <w:p w14:paraId="14425771" w14:textId="77777777" w:rsidR="00931E52" w:rsidRPr="00931E52" w:rsidRDefault="00931E52" w:rsidP="00B05EAF">
      <w:pPr>
        <w:jc w:val="both"/>
        <w:rPr>
          <w:rFonts w:ascii="Helvetica" w:eastAsiaTheme="majorEastAsia" w:hAnsi="Helvetica" w:cstheme="majorBidi"/>
          <w:sz w:val="20"/>
          <w:szCs w:val="20"/>
        </w:rPr>
      </w:pPr>
    </w:p>
    <w:sectPr w:rsidR="00931E52" w:rsidRPr="00931E52">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4859F" w14:textId="77777777" w:rsidR="00F26590" w:rsidRDefault="00F26590" w:rsidP="0000222F">
      <w:pPr>
        <w:spacing w:after="0" w:line="240" w:lineRule="auto"/>
      </w:pPr>
      <w:r>
        <w:separator/>
      </w:r>
    </w:p>
  </w:endnote>
  <w:endnote w:type="continuationSeparator" w:id="0">
    <w:p w14:paraId="70718E34" w14:textId="77777777" w:rsidR="00F26590" w:rsidRDefault="00F26590"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14:paraId="65BB0FCF" w14:textId="6FFE4320" w:rsidR="001D43EA" w:rsidRDefault="001D43EA">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D41063">
          <w:rPr>
            <w:rFonts w:ascii="Constantia" w:hAnsi="Constantia"/>
            <w:noProof/>
            <w:sz w:val="24"/>
          </w:rPr>
          <w:t>9</w:t>
        </w:r>
        <w:r w:rsidRPr="004B003B">
          <w:rPr>
            <w:rFonts w:ascii="Constantia" w:hAnsi="Constantia"/>
            <w:sz w:val="24"/>
          </w:rPr>
          <w:fldChar w:fldCharType="end"/>
        </w:r>
      </w:p>
    </w:sdtContent>
  </w:sdt>
  <w:p w14:paraId="545A5A6E" w14:textId="77777777" w:rsidR="001D43EA" w:rsidRPr="0000222F" w:rsidRDefault="001D43EA">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05C2A" w14:textId="77777777" w:rsidR="00F26590" w:rsidRDefault="00F26590" w:rsidP="0000222F">
      <w:pPr>
        <w:spacing w:after="0" w:line="240" w:lineRule="auto"/>
      </w:pPr>
      <w:r>
        <w:separator/>
      </w:r>
    </w:p>
  </w:footnote>
  <w:footnote w:type="continuationSeparator" w:id="0">
    <w:p w14:paraId="53534A2B" w14:textId="77777777" w:rsidR="00F26590" w:rsidRDefault="00F26590"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0BC2" w14:textId="27C59B1D" w:rsidR="001D43EA" w:rsidRDefault="001D43EA">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3A9BC82" wp14:editId="71B1883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645803273"/>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484B5D">
          <w:rPr>
            <w:rFonts w:ascii="Constantia" w:hAnsi="Constantia"/>
            <w:color w:val="000000" w:themeColor="text1"/>
            <w:sz w:val="20"/>
            <w:szCs w:val="20"/>
          </w:rPr>
          <w:t>Note de version Alma – Mai 2022</w:t>
        </w:r>
      </w:sdtContent>
    </w:sdt>
  </w:p>
  <w:p w14:paraId="09C2C149" w14:textId="77777777" w:rsidR="001D43EA" w:rsidRDefault="001D43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5F"/>
    <w:multiLevelType w:val="hybridMultilevel"/>
    <w:tmpl w:val="283291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658CE"/>
    <w:multiLevelType w:val="hybridMultilevel"/>
    <w:tmpl w:val="EE4A0C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52AB4"/>
    <w:multiLevelType w:val="hybridMultilevel"/>
    <w:tmpl w:val="F0F805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8B495F"/>
    <w:multiLevelType w:val="hybridMultilevel"/>
    <w:tmpl w:val="201E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E508F"/>
    <w:multiLevelType w:val="hybridMultilevel"/>
    <w:tmpl w:val="93A23BE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0AD70EA4"/>
    <w:multiLevelType w:val="hybridMultilevel"/>
    <w:tmpl w:val="AF446C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410265"/>
    <w:multiLevelType w:val="hybridMultilevel"/>
    <w:tmpl w:val="34CE2C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06166"/>
    <w:multiLevelType w:val="multilevel"/>
    <w:tmpl w:val="ABF09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D6B0E"/>
    <w:multiLevelType w:val="hybridMultilevel"/>
    <w:tmpl w:val="8A20847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9" w15:restartNumberingAfterBreak="0">
    <w:nsid w:val="177D5A69"/>
    <w:multiLevelType w:val="hybridMultilevel"/>
    <w:tmpl w:val="700034E6"/>
    <w:lvl w:ilvl="0" w:tplc="27286C62">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F7037"/>
    <w:multiLevelType w:val="hybridMultilevel"/>
    <w:tmpl w:val="52E446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A33AC3"/>
    <w:multiLevelType w:val="hybridMultilevel"/>
    <w:tmpl w:val="FE8858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8C2F8B"/>
    <w:multiLevelType w:val="hybridMultilevel"/>
    <w:tmpl w:val="B43A8D2A"/>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3" w15:restartNumberingAfterBreak="0">
    <w:nsid w:val="1E6C3C6D"/>
    <w:multiLevelType w:val="hybridMultilevel"/>
    <w:tmpl w:val="D5F002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973FCD"/>
    <w:multiLevelType w:val="hybridMultilevel"/>
    <w:tmpl w:val="96CA5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C5365E"/>
    <w:multiLevelType w:val="multilevel"/>
    <w:tmpl w:val="CD7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1E0A77"/>
    <w:multiLevelType w:val="hybridMultilevel"/>
    <w:tmpl w:val="3556A50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6297E02"/>
    <w:multiLevelType w:val="hybridMultilevel"/>
    <w:tmpl w:val="C64E3D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986985"/>
    <w:multiLevelType w:val="hybridMultilevel"/>
    <w:tmpl w:val="9E86F3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83196F"/>
    <w:multiLevelType w:val="hybridMultilevel"/>
    <w:tmpl w:val="F3127D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3F2291"/>
    <w:multiLevelType w:val="hybridMultilevel"/>
    <w:tmpl w:val="923EFD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E37172"/>
    <w:multiLevelType w:val="hybridMultilevel"/>
    <w:tmpl w:val="CDBA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882763"/>
    <w:multiLevelType w:val="hybridMultilevel"/>
    <w:tmpl w:val="8C0E8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525CC4"/>
    <w:multiLevelType w:val="hybridMultilevel"/>
    <w:tmpl w:val="31F04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89111D"/>
    <w:multiLevelType w:val="hybridMultilevel"/>
    <w:tmpl w:val="F8B8483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39B4A95"/>
    <w:multiLevelType w:val="hybridMultilevel"/>
    <w:tmpl w:val="DAD83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C1507D"/>
    <w:multiLevelType w:val="hybridMultilevel"/>
    <w:tmpl w:val="D04209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F22131"/>
    <w:multiLevelType w:val="hybridMultilevel"/>
    <w:tmpl w:val="388A5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533801"/>
    <w:multiLevelType w:val="hybridMultilevel"/>
    <w:tmpl w:val="9E38588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E350C7F"/>
    <w:multiLevelType w:val="hybridMultilevel"/>
    <w:tmpl w:val="3D7A0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9852CB"/>
    <w:multiLevelType w:val="hybridMultilevel"/>
    <w:tmpl w:val="1374A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13119A"/>
    <w:multiLevelType w:val="hybridMultilevel"/>
    <w:tmpl w:val="F7FAD10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2" w15:restartNumberingAfterBreak="0">
    <w:nsid w:val="594D38A2"/>
    <w:multiLevelType w:val="hybridMultilevel"/>
    <w:tmpl w:val="B172FF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A26BB3"/>
    <w:multiLevelType w:val="hybridMultilevel"/>
    <w:tmpl w:val="16E225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8A38C7"/>
    <w:multiLevelType w:val="hybridMultilevel"/>
    <w:tmpl w:val="D2A6A512"/>
    <w:lvl w:ilvl="0" w:tplc="419EB20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5" w15:restartNumberingAfterBreak="0">
    <w:nsid w:val="67091BC3"/>
    <w:multiLevelType w:val="multilevel"/>
    <w:tmpl w:val="9D3C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2F321D"/>
    <w:multiLevelType w:val="hybridMultilevel"/>
    <w:tmpl w:val="5F56EA80"/>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7" w15:restartNumberingAfterBreak="0">
    <w:nsid w:val="718256D1"/>
    <w:multiLevelType w:val="hybridMultilevel"/>
    <w:tmpl w:val="97B6C8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FE2B39"/>
    <w:multiLevelType w:val="hybridMultilevel"/>
    <w:tmpl w:val="26EE0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1A379D"/>
    <w:multiLevelType w:val="hybridMultilevel"/>
    <w:tmpl w:val="5036B1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38"/>
  </w:num>
  <w:num w:numId="4">
    <w:abstractNumId w:val="0"/>
  </w:num>
  <w:num w:numId="5">
    <w:abstractNumId w:val="29"/>
  </w:num>
  <w:num w:numId="6">
    <w:abstractNumId w:val="14"/>
  </w:num>
  <w:num w:numId="7">
    <w:abstractNumId w:val="10"/>
  </w:num>
  <w:num w:numId="8">
    <w:abstractNumId w:val="31"/>
  </w:num>
  <w:num w:numId="9">
    <w:abstractNumId w:val="34"/>
  </w:num>
  <w:num w:numId="10">
    <w:abstractNumId w:val="35"/>
  </w:num>
  <w:num w:numId="11">
    <w:abstractNumId w:val="15"/>
  </w:num>
  <w:num w:numId="12">
    <w:abstractNumId w:val="7"/>
  </w:num>
  <w:num w:numId="13">
    <w:abstractNumId w:val="25"/>
  </w:num>
  <w:num w:numId="14">
    <w:abstractNumId w:val="23"/>
  </w:num>
  <w:num w:numId="15">
    <w:abstractNumId w:val="6"/>
  </w:num>
  <w:num w:numId="16">
    <w:abstractNumId w:val="2"/>
  </w:num>
  <w:num w:numId="17">
    <w:abstractNumId w:val="13"/>
  </w:num>
  <w:num w:numId="18">
    <w:abstractNumId w:val="16"/>
  </w:num>
  <w:num w:numId="19">
    <w:abstractNumId w:val="3"/>
  </w:num>
  <w:num w:numId="20">
    <w:abstractNumId w:val="20"/>
  </w:num>
  <w:num w:numId="21">
    <w:abstractNumId w:val="28"/>
  </w:num>
  <w:num w:numId="22">
    <w:abstractNumId w:val="24"/>
  </w:num>
  <w:num w:numId="23">
    <w:abstractNumId w:val="26"/>
  </w:num>
  <w:num w:numId="24">
    <w:abstractNumId w:val="30"/>
  </w:num>
  <w:num w:numId="25">
    <w:abstractNumId w:val="22"/>
  </w:num>
  <w:num w:numId="26">
    <w:abstractNumId w:val="21"/>
  </w:num>
  <w:num w:numId="27">
    <w:abstractNumId w:val="4"/>
  </w:num>
  <w:num w:numId="28">
    <w:abstractNumId w:val="1"/>
  </w:num>
  <w:num w:numId="29">
    <w:abstractNumId w:val="39"/>
  </w:num>
  <w:num w:numId="30">
    <w:abstractNumId w:val="36"/>
  </w:num>
  <w:num w:numId="31">
    <w:abstractNumId w:val="11"/>
  </w:num>
  <w:num w:numId="32">
    <w:abstractNumId w:val="37"/>
  </w:num>
  <w:num w:numId="33">
    <w:abstractNumId w:val="32"/>
  </w:num>
  <w:num w:numId="34">
    <w:abstractNumId w:val="19"/>
  </w:num>
  <w:num w:numId="35">
    <w:abstractNumId w:val="17"/>
  </w:num>
  <w:num w:numId="36">
    <w:abstractNumId w:val="9"/>
  </w:num>
  <w:num w:numId="37">
    <w:abstractNumId w:val="27"/>
  </w:num>
  <w:num w:numId="38">
    <w:abstractNumId w:val="12"/>
  </w:num>
  <w:num w:numId="39">
    <w:abstractNumId w:val="18"/>
  </w:num>
  <w:num w:numId="4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2910"/>
    <w:rsid w:val="00005002"/>
    <w:rsid w:val="00012B9E"/>
    <w:rsid w:val="00014F96"/>
    <w:rsid w:val="00017DB4"/>
    <w:rsid w:val="00024F2F"/>
    <w:rsid w:val="00025E7E"/>
    <w:rsid w:val="000260C2"/>
    <w:rsid w:val="0002716A"/>
    <w:rsid w:val="0003110F"/>
    <w:rsid w:val="0003678A"/>
    <w:rsid w:val="00036CBD"/>
    <w:rsid w:val="000401DE"/>
    <w:rsid w:val="00041564"/>
    <w:rsid w:val="000511AD"/>
    <w:rsid w:val="00052D3E"/>
    <w:rsid w:val="00057336"/>
    <w:rsid w:val="000607C8"/>
    <w:rsid w:val="00062C53"/>
    <w:rsid w:val="000672A2"/>
    <w:rsid w:val="000736F5"/>
    <w:rsid w:val="00073CD9"/>
    <w:rsid w:val="00073E8F"/>
    <w:rsid w:val="0007473D"/>
    <w:rsid w:val="000873D3"/>
    <w:rsid w:val="00090297"/>
    <w:rsid w:val="00090B99"/>
    <w:rsid w:val="000C1C2D"/>
    <w:rsid w:val="000C59D6"/>
    <w:rsid w:val="000D3C15"/>
    <w:rsid w:val="000D65EB"/>
    <w:rsid w:val="000D6D4E"/>
    <w:rsid w:val="000D6DDE"/>
    <w:rsid w:val="000E47BE"/>
    <w:rsid w:val="000E6664"/>
    <w:rsid w:val="000F01AA"/>
    <w:rsid w:val="000F1B6C"/>
    <w:rsid w:val="000F3190"/>
    <w:rsid w:val="000F613D"/>
    <w:rsid w:val="000F747B"/>
    <w:rsid w:val="000F7D61"/>
    <w:rsid w:val="00102B8A"/>
    <w:rsid w:val="0010457B"/>
    <w:rsid w:val="00105490"/>
    <w:rsid w:val="0010575D"/>
    <w:rsid w:val="00111459"/>
    <w:rsid w:val="00112A0B"/>
    <w:rsid w:val="00117E9B"/>
    <w:rsid w:val="001201B4"/>
    <w:rsid w:val="00132CF4"/>
    <w:rsid w:val="001363FA"/>
    <w:rsid w:val="00136AAE"/>
    <w:rsid w:val="001419AC"/>
    <w:rsid w:val="00145FE2"/>
    <w:rsid w:val="001470CD"/>
    <w:rsid w:val="001650B2"/>
    <w:rsid w:val="001675A7"/>
    <w:rsid w:val="001701A0"/>
    <w:rsid w:val="00172A1B"/>
    <w:rsid w:val="00181D92"/>
    <w:rsid w:val="001833FA"/>
    <w:rsid w:val="001939F8"/>
    <w:rsid w:val="001A1BD8"/>
    <w:rsid w:val="001A4E59"/>
    <w:rsid w:val="001B18ED"/>
    <w:rsid w:val="001B1DC2"/>
    <w:rsid w:val="001B29BE"/>
    <w:rsid w:val="001B4CAC"/>
    <w:rsid w:val="001C53F4"/>
    <w:rsid w:val="001C78C1"/>
    <w:rsid w:val="001D43EA"/>
    <w:rsid w:val="001D4763"/>
    <w:rsid w:val="001D5E23"/>
    <w:rsid w:val="001E03D0"/>
    <w:rsid w:val="001E3A89"/>
    <w:rsid w:val="001F1BC0"/>
    <w:rsid w:val="0020526F"/>
    <w:rsid w:val="002118A1"/>
    <w:rsid w:val="00214FC2"/>
    <w:rsid w:val="00220539"/>
    <w:rsid w:val="00261FDF"/>
    <w:rsid w:val="00262B13"/>
    <w:rsid w:val="00270474"/>
    <w:rsid w:val="00272361"/>
    <w:rsid w:val="002725CC"/>
    <w:rsid w:val="00274673"/>
    <w:rsid w:val="00275004"/>
    <w:rsid w:val="00281C2E"/>
    <w:rsid w:val="00282501"/>
    <w:rsid w:val="00285875"/>
    <w:rsid w:val="0028724A"/>
    <w:rsid w:val="00291304"/>
    <w:rsid w:val="00293FEB"/>
    <w:rsid w:val="0029509B"/>
    <w:rsid w:val="002953BF"/>
    <w:rsid w:val="002A2F7D"/>
    <w:rsid w:val="002A4294"/>
    <w:rsid w:val="002A70D3"/>
    <w:rsid w:val="002A7A9B"/>
    <w:rsid w:val="002C314B"/>
    <w:rsid w:val="002C4D55"/>
    <w:rsid w:val="002D079A"/>
    <w:rsid w:val="002D1584"/>
    <w:rsid w:val="002D6917"/>
    <w:rsid w:val="002D78F0"/>
    <w:rsid w:val="002D7AE5"/>
    <w:rsid w:val="002F1327"/>
    <w:rsid w:val="002F7152"/>
    <w:rsid w:val="002F7B16"/>
    <w:rsid w:val="0030256E"/>
    <w:rsid w:val="00307570"/>
    <w:rsid w:val="00307E00"/>
    <w:rsid w:val="00311A0C"/>
    <w:rsid w:val="00312B5C"/>
    <w:rsid w:val="00314C37"/>
    <w:rsid w:val="00321A9A"/>
    <w:rsid w:val="003224A7"/>
    <w:rsid w:val="0032429A"/>
    <w:rsid w:val="003251D8"/>
    <w:rsid w:val="00326913"/>
    <w:rsid w:val="00333CEB"/>
    <w:rsid w:val="00335428"/>
    <w:rsid w:val="00336233"/>
    <w:rsid w:val="00346FE3"/>
    <w:rsid w:val="003474A7"/>
    <w:rsid w:val="00347DAF"/>
    <w:rsid w:val="0035454E"/>
    <w:rsid w:val="00355D48"/>
    <w:rsid w:val="00361902"/>
    <w:rsid w:val="00364FCC"/>
    <w:rsid w:val="0036628B"/>
    <w:rsid w:val="00384C81"/>
    <w:rsid w:val="00386DFF"/>
    <w:rsid w:val="003A0D01"/>
    <w:rsid w:val="003A762F"/>
    <w:rsid w:val="003A7E2C"/>
    <w:rsid w:val="003B040C"/>
    <w:rsid w:val="003B2431"/>
    <w:rsid w:val="003C33C9"/>
    <w:rsid w:val="003C7825"/>
    <w:rsid w:val="003D3BED"/>
    <w:rsid w:val="003E09B8"/>
    <w:rsid w:val="003E1E4A"/>
    <w:rsid w:val="003E38D0"/>
    <w:rsid w:val="003E5228"/>
    <w:rsid w:val="003E5F2E"/>
    <w:rsid w:val="003E611C"/>
    <w:rsid w:val="003F21FE"/>
    <w:rsid w:val="003F402B"/>
    <w:rsid w:val="00400120"/>
    <w:rsid w:val="00407073"/>
    <w:rsid w:val="00415DFF"/>
    <w:rsid w:val="004206D0"/>
    <w:rsid w:val="004210AF"/>
    <w:rsid w:val="00441B1F"/>
    <w:rsid w:val="00443F9F"/>
    <w:rsid w:val="00454796"/>
    <w:rsid w:val="0045601C"/>
    <w:rsid w:val="0045770F"/>
    <w:rsid w:val="0045797F"/>
    <w:rsid w:val="004664C3"/>
    <w:rsid w:val="00466F96"/>
    <w:rsid w:val="004673BE"/>
    <w:rsid w:val="004679EA"/>
    <w:rsid w:val="0047260A"/>
    <w:rsid w:val="00474B3A"/>
    <w:rsid w:val="004764E5"/>
    <w:rsid w:val="00481AA2"/>
    <w:rsid w:val="00481E05"/>
    <w:rsid w:val="00484B5D"/>
    <w:rsid w:val="0048554F"/>
    <w:rsid w:val="00486028"/>
    <w:rsid w:val="00486537"/>
    <w:rsid w:val="004902A6"/>
    <w:rsid w:val="00491A58"/>
    <w:rsid w:val="00491C52"/>
    <w:rsid w:val="00494A30"/>
    <w:rsid w:val="00495EEC"/>
    <w:rsid w:val="004A5011"/>
    <w:rsid w:val="004A67C3"/>
    <w:rsid w:val="004A6BC9"/>
    <w:rsid w:val="004A748C"/>
    <w:rsid w:val="004A76EE"/>
    <w:rsid w:val="004A7E19"/>
    <w:rsid w:val="004A7E7A"/>
    <w:rsid w:val="004B003B"/>
    <w:rsid w:val="004B1A3A"/>
    <w:rsid w:val="004B3749"/>
    <w:rsid w:val="004B5E2C"/>
    <w:rsid w:val="004C0333"/>
    <w:rsid w:val="004D0282"/>
    <w:rsid w:val="004D7798"/>
    <w:rsid w:val="004E50F5"/>
    <w:rsid w:val="004E6CAC"/>
    <w:rsid w:val="005007A3"/>
    <w:rsid w:val="00510976"/>
    <w:rsid w:val="005214E6"/>
    <w:rsid w:val="00524A5D"/>
    <w:rsid w:val="00535A67"/>
    <w:rsid w:val="005370F4"/>
    <w:rsid w:val="0054008B"/>
    <w:rsid w:val="00540F8B"/>
    <w:rsid w:val="00541138"/>
    <w:rsid w:val="0054672F"/>
    <w:rsid w:val="00550E1E"/>
    <w:rsid w:val="0055368B"/>
    <w:rsid w:val="00554029"/>
    <w:rsid w:val="00554259"/>
    <w:rsid w:val="005549C4"/>
    <w:rsid w:val="005656F2"/>
    <w:rsid w:val="005677A0"/>
    <w:rsid w:val="005772B3"/>
    <w:rsid w:val="00583BDD"/>
    <w:rsid w:val="00585D27"/>
    <w:rsid w:val="0059691F"/>
    <w:rsid w:val="00597121"/>
    <w:rsid w:val="005A408F"/>
    <w:rsid w:val="005A4119"/>
    <w:rsid w:val="005A6CA4"/>
    <w:rsid w:val="005B6944"/>
    <w:rsid w:val="005B6C9E"/>
    <w:rsid w:val="005C0361"/>
    <w:rsid w:val="005C2C1F"/>
    <w:rsid w:val="005D2440"/>
    <w:rsid w:val="005D3BFC"/>
    <w:rsid w:val="005D75FA"/>
    <w:rsid w:val="005E088C"/>
    <w:rsid w:val="005E08E8"/>
    <w:rsid w:val="005E4B7B"/>
    <w:rsid w:val="005E6A4B"/>
    <w:rsid w:val="005E6DCD"/>
    <w:rsid w:val="005E7730"/>
    <w:rsid w:val="005F0434"/>
    <w:rsid w:val="005F052D"/>
    <w:rsid w:val="00611D97"/>
    <w:rsid w:val="006148A9"/>
    <w:rsid w:val="0062684E"/>
    <w:rsid w:val="006363E2"/>
    <w:rsid w:val="00636B65"/>
    <w:rsid w:val="00640F75"/>
    <w:rsid w:val="00657179"/>
    <w:rsid w:val="00673DE6"/>
    <w:rsid w:val="0068052A"/>
    <w:rsid w:val="00681DFC"/>
    <w:rsid w:val="00682C02"/>
    <w:rsid w:val="0068354E"/>
    <w:rsid w:val="00690699"/>
    <w:rsid w:val="00691FD6"/>
    <w:rsid w:val="00695161"/>
    <w:rsid w:val="00695988"/>
    <w:rsid w:val="006A13D4"/>
    <w:rsid w:val="006B38F8"/>
    <w:rsid w:val="006B3C74"/>
    <w:rsid w:val="006B7860"/>
    <w:rsid w:val="006C1C8C"/>
    <w:rsid w:val="006C3D7A"/>
    <w:rsid w:val="006C519D"/>
    <w:rsid w:val="006C5B78"/>
    <w:rsid w:val="006D416A"/>
    <w:rsid w:val="006D7560"/>
    <w:rsid w:val="006D7BE6"/>
    <w:rsid w:val="006E29FF"/>
    <w:rsid w:val="006E5ED7"/>
    <w:rsid w:val="006E6104"/>
    <w:rsid w:val="006F2BF9"/>
    <w:rsid w:val="006F79D3"/>
    <w:rsid w:val="00703D19"/>
    <w:rsid w:val="00707575"/>
    <w:rsid w:val="00710D3F"/>
    <w:rsid w:val="00721FB1"/>
    <w:rsid w:val="00722E33"/>
    <w:rsid w:val="007263D7"/>
    <w:rsid w:val="00732813"/>
    <w:rsid w:val="00735E5C"/>
    <w:rsid w:val="00735F64"/>
    <w:rsid w:val="00737F51"/>
    <w:rsid w:val="007423BA"/>
    <w:rsid w:val="00744D74"/>
    <w:rsid w:val="00745935"/>
    <w:rsid w:val="0075266E"/>
    <w:rsid w:val="00754F77"/>
    <w:rsid w:val="00761709"/>
    <w:rsid w:val="00763E4A"/>
    <w:rsid w:val="007660F5"/>
    <w:rsid w:val="0076624E"/>
    <w:rsid w:val="00775133"/>
    <w:rsid w:val="00784A00"/>
    <w:rsid w:val="00791893"/>
    <w:rsid w:val="007952AB"/>
    <w:rsid w:val="00795308"/>
    <w:rsid w:val="007A586E"/>
    <w:rsid w:val="007A5C14"/>
    <w:rsid w:val="007B37AE"/>
    <w:rsid w:val="007B4945"/>
    <w:rsid w:val="007B5EF5"/>
    <w:rsid w:val="007C1117"/>
    <w:rsid w:val="007C474D"/>
    <w:rsid w:val="007E08ED"/>
    <w:rsid w:val="007E5964"/>
    <w:rsid w:val="007E6A1D"/>
    <w:rsid w:val="007E723C"/>
    <w:rsid w:val="007F17CB"/>
    <w:rsid w:val="007F1B48"/>
    <w:rsid w:val="00802C71"/>
    <w:rsid w:val="00804C13"/>
    <w:rsid w:val="00805200"/>
    <w:rsid w:val="008069AF"/>
    <w:rsid w:val="008071FD"/>
    <w:rsid w:val="00810752"/>
    <w:rsid w:val="00811BC1"/>
    <w:rsid w:val="00813BFE"/>
    <w:rsid w:val="00817870"/>
    <w:rsid w:val="00817E7F"/>
    <w:rsid w:val="00821296"/>
    <w:rsid w:val="0082353A"/>
    <w:rsid w:val="00823EBC"/>
    <w:rsid w:val="008262BD"/>
    <w:rsid w:val="008275DC"/>
    <w:rsid w:val="00830066"/>
    <w:rsid w:val="0083132C"/>
    <w:rsid w:val="00831723"/>
    <w:rsid w:val="008358D1"/>
    <w:rsid w:val="00837E79"/>
    <w:rsid w:val="00845B33"/>
    <w:rsid w:val="00852F4F"/>
    <w:rsid w:val="00854DA3"/>
    <w:rsid w:val="00860D89"/>
    <w:rsid w:val="00861AD0"/>
    <w:rsid w:val="008626E3"/>
    <w:rsid w:val="00863139"/>
    <w:rsid w:val="00863DDD"/>
    <w:rsid w:val="00872C10"/>
    <w:rsid w:val="008802FB"/>
    <w:rsid w:val="00882C2D"/>
    <w:rsid w:val="00886422"/>
    <w:rsid w:val="00892E14"/>
    <w:rsid w:val="00894A43"/>
    <w:rsid w:val="008A04F6"/>
    <w:rsid w:val="008A260B"/>
    <w:rsid w:val="008B20F5"/>
    <w:rsid w:val="008B2251"/>
    <w:rsid w:val="008B4BE1"/>
    <w:rsid w:val="008B5D6E"/>
    <w:rsid w:val="008B60B1"/>
    <w:rsid w:val="008B6CE6"/>
    <w:rsid w:val="008C3035"/>
    <w:rsid w:val="008C63D9"/>
    <w:rsid w:val="008C7E93"/>
    <w:rsid w:val="008D0B16"/>
    <w:rsid w:val="008D31A3"/>
    <w:rsid w:val="008D47B2"/>
    <w:rsid w:val="008D5E7F"/>
    <w:rsid w:val="008D6030"/>
    <w:rsid w:val="008D6454"/>
    <w:rsid w:val="008D669B"/>
    <w:rsid w:val="008D6E84"/>
    <w:rsid w:val="008E2F8E"/>
    <w:rsid w:val="008E57B2"/>
    <w:rsid w:val="009053C2"/>
    <w:rsid w:val="0090602D"/>
    <w:rsid w:val="00906DE2"/>
    <w:rsid w:val="00921EF0"/>
    <w:rsid w:val="009245F6"/>
    <w:rsid w:val="00926FBE"/>
    <w:rsid w:val="00931E52"/>
    <w:rsid w:val="00934631"/>
    <w:rsid w:val="00936142"/>
    <w:rsid w:val="00937C7A"/>
    <w:rsid w:val="0094093B"/>
    <w:rsid w:val="0094099C"/>
    <w:rsid w:val="00946661"/>
    <w:rsid w:val="0095066F"/>
    <w:rsid w:val="00957BB2"/>
    <w:rsid w:val="00961C39"/>
    <w:rsid w:val="00967E80"/>
    <w:rsid w:val="00971060"/>
    <w:rsid w:val="00971432"/>
    <w:rsid w:val="00976C63"/>
    <w:rsid w:val="00984A2A"/>
    <w:rsid w:val="009868D5"/>
    <w:rsid w:val="0099021A"/>
    <w:rsid w:val="009922B4"/>
    <w:rsid w:val="00993E0B"/>
    <w:rsid w:val="009946DD"/>
    <w:rsid w:val="009957B3"/>
    <w:rsid w:val="00997C68"/>
    <w:rsid w:val="009A43EE"/>
    <w:rsid w:val="009B26B5"/>
    <w:rsid w:val="009B4FE5"/>
    <w:rsid w:val="009C0F47"/>
    <w:rsid w:val="009C1C71"/>
    <w:rsid w:val="009C1D33"/>
    <w:rsid w:val="009C2364"/>
    <w:rsid w:val="009C7D38"/>
    <w:rsid w:val="009D1495"/>
    <w:rsid w:val="009D56DD"/>
    <w:rsid w:val="009D7D87"/>
    <w:rsid w:val="009F5B3F"/>
    <w:rsid w:val="009F7DE1"/>
    <w:rsid w:val="00A000A4"/>
    <w:rsid w:val="00A01857"/>
    <w:rsid w:val="00A032F5"/>
    <w:rsid w:val="00A0669A"/>
    <w:rsid w:val="00A16404"/>
    <w:rsid w:val="00A20C95"/>
    <w:rsid w:val="00A24711"/>
    <w:rsid w:val="00A2599D"/>
    <w:rsid w:val="00A30750"/>
    <w:rsid w:val="00A331DC"/>
    <w:rsid w:val="00A37F67"/>
    <w:rsid w:val="00A432A7"/>
    <w:rsid w:val="00A51303"/>
    <w:rsid w:val="00A61099"/>
    <w:rsid w:val="00A616A7"/>
    <w:rsid w:val="00A624BB"/>
    <w:rsid w:val="00A75AC2"/>
    <w:rsid w:val="00A77C5E"/>
    <w:rsid w:val="00A830B5"/>
    <w:rsid w:val="00A9096E"/>
    <w:rsid w:val="00A97418"/>
    <w:rsid w:val="00AA2219"/>
    <w:rsid w:val="00AA361A"/>
    <w:rsid w:val="00AA52A5"/>
    <w:rsid w:val="00AB040F"/>
    <w:rsid w:val="00AB09C4"/>
    <w:rsid w:val="00AB4CAB"/>
    <w:rsid w:val="00AB6035"/>
    <w:rsid w:val="00AD0E4D"/>
    <w:rsid w:val="00AD218A"/>
    <w:rsid w:val="00AD5CF2"/>
    <w:rsid w:val="00AD6859"/>
    <w:rsid w:val="00AE1C5E"/>
    <w:rsid w:val="00AE5827"/>
    <w:rsid w:val="00AF0106"/>
    <w:rsid w:val="00AF1418"/>
    <w:rsid w:val="00B00A18"/>
    <w:rsid w:val="00B00F9A"/>
    <w:rsid w:val="00B05EAF"/>
    <w:rsid w:val="00B15183"/>
    <w:rsid w:val="00B202CE"/>
    <w:rsid w:val="00B22555"/>
    <w:rsid w:val="00B22D99"/>
    <w:rsid w:val="00B271D9"/>
    <w:rsid w:val="00B433E8"/>
    <w:rsid w:val="00B43534"/>
    <w:rsid w:val="00B44DB5"/>
    <w:rsid w:val="00B45BD6"/>
    <w:rsid w:val="00B564A9"/>
    <w:rsid w:val="00B5716E"/>
    <w:rsid w:val="00B60CFB"/>
    <w:rsid w:val="00B62FD4"/>
    <w:rsid w:val="00B65A84"/>
    <w:rsid w:val="00B65AA3"/>
    <w:rsid w:val="00B7042F"/>
    <w:rsid w:val="00B733AC"/>
    <w:rsid w:val="00B7686F"/>
    <w:rsid w:val="00B76E78"/>
    <w:rsid w:val="00B9082F"/>
    <w:rsid w:val="00B918BB"/>
    <w:rsid w:val="00B929D2"/>
    <w:rsid w:val="00B9329E"/>
    <w:rsid w:val="00B94B7E"/>
    <w:rsid w:val="00BA41E6"/>
    <w:rsid w:val="00BB4679"/>
    <w:rsid w:val="00BC0A6A"/>
    <w:rsid w:val="00BC50CB"/>
    <w:rsid w:val="00BD0626"/>
    <w:rsid w:val="00BD096F"/>
    <w:rsid w:val="00BD2AA4"/>
    <w:rsid w:val="00BD413F"/>
    <w:rsid w:val="00BD4AD5"/>
    <w:rsid w:val="00BD53C0"/>
    <w:rsid w:val="00BE5B2D"/>
    <w:rsid w:val="00BF425D"/>
    <w:rsid w:val="00BF4759"/>
    <w:rsid w:val="00BF5A00"/>
    <w:rsid w:val="00BF7868"/>
    <w:rsid w:val="00BF7C7E"/>
    <w:rsid w:val="00C06A60"/>
    <w:rsid w:val="00C0733A"/>
    <w:rsid w:val="00C07835"/>
    <w:rsid w:val="00C153AD"/>
    <w:rsid w:val="00C21EBA"/>
    <w:rsid w:val="00C22986"/>
    <w:rsid w:val="00C357BA"/>
    <w:rsid w:val="00C35CE1"/>
    <w:rsid w:val="00C36024"/>
    <w:rsid w:val="00C374F1"/>
    <w:rsid w:val="00C441E8"/>
    <w:rsid w:val="00C44BA5"/>
    <w:rsid w:val="00C54E4F"/>
    <w:rsid w:val="00C632B8"/>
    <w:rsid w:val="00C65FCD"/>
    <w:rsid w:val="00C7018F"/>
    <w:rsid w:val="00C7078F"/>
    <w:rsid w:val="00C72B44"/>
    <w:rsid w:val="00C72F09"/>
    <w:rsid w:val="00C771BF"/>
    <w:rsid w:val="00C84361"/>
    <w:rsid w:val="00C84664"/>
    <w:rsid w:val="00C869AA"/>
    <w:rsid w:val="00C904AA"/>
    <w:rsid w:val="00C96FF6"/>
    <w:rsid w:val="00CA085C"/>
    <w:rsid w:val="00CA11BD"/>
    <w:rsid w:val="00CA19C1"/>
    <w:rsid w:val="00CB1A01"/>
    <w:rsid w:val="00CB41C6"/>
    <w:rsid w:val="00CB5465"/>
    <w:rsid w:val="00CB7EB4"/>
    <w:rsid w:val="00CC11CF"/>
    <w:rsid w:val="00CD1F44"/>
    <w:rsid w:val="00CE1D11"/>
    <w:rsid w:val="00CF190D"/>
    <w:rsid w:val="00CF1D7F"/>
    <w:rsid w:val="00CF2C88"/>
    <w:rsid w:val="00CF794B"/>
    <w:rsid w:val="00D015CD"/>
    <w:rsid w:val="00D03220"/>
    <w:rsid w:val="00D065E8"/>
    <w:rsid w:val="00D12D15"/>
    <w:rsid w:val="00D17106"/>
    <w:rsid w:val="00D24698"/>
    <w:rsid w:val="00D24F72"/>
    <w:rsid w:val="00D25941"/>
    <w:rsid w:val="00D34BC5"/>
    <w:rsid w:val="00D36CF5"/>
    <w:rsid w:val="00D41063"/>
    <w:rsid w:val="00D4164C"/>
    <w:rsid w:val="00D42384"/>
    <w:rsid w:val="00D426EA"/>
    <w:rsid w:val="00D45973"/>
    <w:rsid w:val="00D46E93"/>
    <w:rsid w:val="00D50587"/>
    <w:rsid w:val="00D50A0E"/>
    <w:rsid w:val="00D50E3E"/>
    <w:rsid w:val="00D52E7B"/>
    <w:rsid w:val="00D53188"/>
    <w:rsid w:val="00D55233"/>
    <w:rsid w:val="00D65525"/>
    <w:rsid w:val="00D66A50"/>
    <w:rsid w:val="00D70AEC"/>
    <w:rsid w:val="00D74046"/>
    <w:rsid w:val="00D75DC5"/>
    <w:rsid w:val="00D77664"/>
    <w:rsid w:val="00D808A9"/>
    <w:rsid w:val="00D81E58"/>
    <w:rsid w:val="00D872C1"/>
    <w:rsid w:val="00D9408D"/>
    <w:rsid w:val="00D94796"/>
    <w:rsid w:val="00DA5EAF"/>
    <w:rsid w:val="00DB2D66"/>
    <w:rsid w:val="00DB33B9"/>
    <w:rsid w:val="00DB7EF8"/>
    <w:rsid w:val="00DC1426"/>
    <w:rsid w:val="00DD15F2"/>
    <w:rsid w:val="00DD1B82"/>
    <w:rsid w:val="00DD7033"/>
    <w:rsid w:val="00DE588B"/>
    <w:rsid w:val="00DF1B14"/>
    <w:rsid w:val="00DF2422"/>
    <w:rsid w:val="00E0351C"/>
    <w:rsid w:val="00E039CD"/>
    <w:rsid w:val="00E079EB"/>
    <w:rsid w:val="00E07DCD"/>
    <w:rsid w:val="00E10427"/>
    <w:rsid w:val="00E11825"/>
    <w:rsid w:val="00E122BD"/>
    <w:rsid w:val="00E16F47"/>
    <w:rsid w:val="00E171FB"/>
    <w:rsid w:val="00E177DE"/>
    <w:rsid w:val="00E21332"/>
    <w:rsid w:val="00E2682A"/>
    <w:rsid w:val="00E26911"/>
    <w:rsid w:val="00E324D2"/>
    <w:rsid w:val="00E37C78"/>
    <w:rsid w:val="00E53580"/>
    <w:rsid w:val="00E538CA"/>
    <w:rsid w:val="00E5653F"/>
    <w:rsid w:val="00E60315"/>
    <w:rsid w:val="00E628A3"/>
    <w:rsid w:val="00E73552"/>
    <w:rsid w:val="00E73D26"/>
    <w:rsid w:val="00E8143C"/>
    <w:rsid w:val="00E93246"/>
    <w:rsid w:val="00E93B8F"/>
    <w:rsid w:val="00EA6047"/>
    <w:rsid w:val="00EA6656"/>
    <w:rsid w:val="00EA7543"/>
    <w:rsid w:val="00EB032C"/>
    <w:rsid w:val="00EB1500"/>
    <w:rsid w:val="00EB4876"/>
    <w:rsid w:val="00EB4EBC"/>
    <w:rsid w:val="00EB6D5B"/>
    <w:rsid w:val="00EB73E4"/>
    <w:rsid w:val="00EC0880"/>
    <w:rsid w:val="00EC217E"/>
    <w:rsid w:val="00EC6CA5"/>
    <w:rsid w:val="00ED701C"/>
    <w:rsid w:val="00ED7049"/>
    <w:rsid w:val="00EE0F48"/>
    <w:rsid w:val="00EE16BA"/>
    <w:rsid w:val="00EE6D01"/>
    <w:rsid w:val="00EF3612"/>
    <w:rsid w:val="00F0245E"/>
    <w:rsid w:val="00F02D7D"/>
    <w:rsid w:val="00F07BFE"/>
    <w:rsid w:val="00F07F27"/>
    <w:rsid w:val="00F106C0"/>
    <w:rsid w:val="00F12A10"/>
    <w:rsid w:val="00F14E5C"/>
    <w:rsid w:val="00F22251"/>
    <w:rsid w:val="00F2400F"/>
    <w:rsid w:val="00F25316"/>
    <w:rsid w:val="00F26590"/>
    <w:rsid w:val="00F2661B"/>
    <w:rsid w:val="00F31068"/>
    <w:rsid w:val="00F3154E"/>
    <w:rsid w:val="00F318F1"/>
    <w:rsid w:val="00F33748"/>
    <w:rsid w:val="00F33F5C"/>
    <w:rsid w:val="00F35C24"/>
    <w:rsid w:val="00F3668E"/>
    <w:rsid w:val="00F374BE"/>
    <w:rsid w:val="00F463DC"/>
    <w:rsid w:val="00F51AAC"/>
    <w:rsid w:val="00F54507"/>
    <w:rsid w:val="00F55204"/>
    <w:rsid w:val="00F640D9"/>
    <w:rsid w:val="00F670DA"/>
    <w:rsid w:val="00F70187"/>
    <w:rsid w:val="00F721C9"/>
    <w:rsid w:val="00F74BB6"/>
    <w:rsid w:val="00F75DB6"/>
    <w:rsid w:val="00F76866"/>
    <w:rsid w:val="00F77503"/>
    <w:rsid w:val="00F8013B"/>
    <w:rsid w:val="00F837A5"/>
    <w:rsid w:val="00F8672B"/>
    <w:rsid w:val="00F96E65"/>
    <w:rsid w:val="00FB24A7"/>
    <w:rsid w:val="00FB391E"/>
    <w:rsid w:val="00FC1D38"/>
    <w:rsid w:val="00FC2455"/>
    <w:rsid w:val="00FC3200"/>
    <w:rsid w:val="00FC7650"/>
    <w:rsid w:val="00FD5AC0"/>
    <w:rsid w:val="00FD661B"/>
    <w:rsid w:val="00FD7437"/>
    <w:rsid w:val="00FE2C0E"/>
    <w:rsid w:val="00FE5C75"/>
    <w:rsid w:val="00FE5CBA"/>
    <w:rsid w:val="00FE670C"/>
    <w:rsid w:val="00FF4B9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933CAC"/>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798"/>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 w:type="character" w:customStyle="1" w:styleId="UnresolvedMention">
    <w:name w:val="Unresolved Mention"/>
    <w:basedOn w:val="Policepardfaut"/>
    <w:uiPriority w:val="99"/>
    <w:semiHidden/>
    <w:unhideWhenUsed/>
    <w:rsid w:val="00090B99"/>
    <w:rPr>
      <w:color w:val="605E5C"/>
      <w:shd w:val="clear" w:color="auto" w:fill="E1DFDD"/>
    </w:rPr>
  </w:style>
  <w:style w:type="character" w:customStyle="1" w:styleId="screenelement">
    <w:name w:val="screenelement"/>
    <w:basedOn w:val="Policepardfaut"/>
    <w:rsid w:val="00F54507"/>
  </w:style>
  <w:style w:type="character" w:customStyle="1" w:styleId="almarntag">
    <w:name w:val="almarntag"/>
    <w:basedOn w:val="Policepardfaut"/>
    <w:rsid w:val="00F54507"/>
  </w:style>
  <w:style w:type="paragraph" w:styleId="NormalWeb">
    <w:name w:val="Normal (Web)"/>
    <w:basedOn w:val="Normal"/>
    <w:uiPriority w:val="99"/>
    <w:semiHidden/>
    <w:unhideWhenUsed/>
    <w:rsid w:val="00F5450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821">
      <w:bodyDiv w:val="1"/>
      <w:marLeft w:val="0"/>
      <w:marRight w:val="0"/>
      <w:marTop w:val="0"/>
      <w:marBottom w:val="0"/>
      <w:divBdr>
        <w:top w:val="none" w:sz="0" w:space="0" w:color="auto"/>
        <w:left w:val="none" w:sz="0" w:space="0" w:color="auto"/>
        <w:bottom w:val="none" w:sz="0" w:space="0" w:color="auto"/>
        <w:right w:val="none" w:sz="0" w:space="0" w:color="auto"/>
      </w:divBdr>
      <w:divsChild>
        <w:div w:id="475953597">
          <w:marLeft w:val="0"/>
          <w:marRight w:val="0"/>
          <w:marTop w:val="0"/>
          <w:marBottom w:val="0"/>
          <w:divBdr>
            <w:top w:val="none" w:sz="0" w:space="0" w:color="auto"/>
            <w:left w:val="none" w:sz="0" w:space="0" w:color="auto"/>
            <w:bottom w:val="none" w:sz="0" w:space="0" w:color="auto"/>
            <w:right w:val="none" w:sz="0" w:space="0" w:color="auto"/>
          </w:divBdr>
        </w:div>
      </w:divsChild>
    </w:div>
    <w:div w:id="17706453">
      <w:bodyDiv w:val="1"/>
      <w:marLeft w:val="0"/>
      <w:marRight w:val="0"/>
      <w:marTop w:val="0"/>
      <w:marBottom w:val="0"/>
      <w:divBdr>
        <w:top w:val="none" w:sz="0" w:space="0" w:color="auto"/>
        <w:left w:val="none" w:sz="0" w:space="0" w:color="auto"/>
        <w:bottom w:val="none" w:sz="0" w:space="0" w:color="auto"/>
        <w:right w:val="none" w:sz="0" w:space="0" w:color="auto"/>
      </w:divBdr>
    </w:div>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67462255">
      <w:bodyDiv w:val="1"/>
      <w:marLeft w:val="0"/>
      <w:marRight w:val="0"/>
      <w:marTop w:val="0"/>
      <w:marBottom w:val="0"/>
      <w:divBdr>
        <w:top w:val="none" w:sz="0" w:space="0" w:color="auto"/>
        <w:left w:val="none" w:sz="0" w:space="0" w:color="auto"/>
        <w:bottom w:val="none" w:sz="0" w:space="0" w:color="auto"/>
        <w:right w:val="none" w:sz="0" w:space="0" w:color="auto"/>
      </w:divBdr>
      <w:divsChild>
        <w:div w:id="1778601755">
          <w:marLeft w:val="0"/>
          <w:marRight w:val="0"/>
          <w:marTop w:val="240"/>
          <w:marBottom w:val="240"/>
          <w:divBdr>
            <w:top w:val="none" w:sz="0" w:space="0" w:color="auto"/>
            <w:left w:val="none" w:sz="0" w:space="0" w:color="auto"/>
            <w:bottom w:val="none" w:sz="0" w:space="0" w:color="auto"/>
            <w:right w:val="none" w:sz="0" w:space="0" w:color="auto"/>
          </w:divBdr>
        </w:div>
        <w:div w:id="1863350501">
          <w:marLeft w:val="0"/>
          <w:marRight w:val="0"/>
          <w:marTop w:val="0"/>
          <w:marBottom w:val="0"/>
          <w:divBdr>
            <w:top w:val="none" w:sz="0" w:space="0" w:color="auto"/>
            <w:left w:val="none" w:sz="0" w:space="0" w:color="auto"/>
            <w:bottom w:val="none" w:sz="0" w:space="0" w:color="auto"/>
            <w:right w:val="none" w:sz="0" w:space="0" w:color="auto"/>
          </w:divBdr>
        </w:div>
      </w:divsChild>
    </w:div>
    <w:div w:id="115683745">
      <w:bodyDiv w:val="1"/>
      <w:marLeft w:val="0"/>
      <w:marRight w:val="0"/>
      <w:marTop w:val="0"/>
      <w:marBottom w:val="0"/>
      <w:divBdr>
        <w:top w:val="none" w:sz="0" w:space="0" w:color="auto"/>
        <w:left w:val="none" w:sz="0" w:space="0" w:color="auto"/>
        <w:bottom w:val="none" w:sz="0" w:space="0" w:color="auto"/>
        <w:right w:val="none" w:sz="0" w:space="0" w:color="auto"/>
      </w:divBdr>
    </w:div>
    <w:div w:id="257718137">
      <w:bodyDiv w:val="1"/>
      <w:marLeft w:val="0"/>
      <w:marRight w:val="0"/>
      <w:marTop w:val="0"/>
      <w:marBottom w:val="0"/>
      <w:divBdr>
        <w:top w:val="none" w:sz="0" w:space="0" w:color="auto"/>
        <w:left w:val="none" w:sz="0" w:space="0" w:color="auto"/>
        <w:bottom w:val="none" w:sz="0" w:space="0" w:color="auto"/>
        <w:right w:val="none" w:sz="0" w:space="0" w:color="auto"/>
      </w:divBdr>
    </w:div>
    <w:div w:id="301155313">
      <w:bodyDiv w:val="1"/>
      <w:marLeft w:val="0"/>
      <w:marRight w:val="0"/>
      <w:marTop w:val="0"/>
      <w:marBottom w:val="0"/>
      <w:divBdr>
        <w:top w:val="none" w:sz="0" w:space="0" w:color="auto"/>
        <w:left w:val="none" w:sz="0" w:space="0" w:color="auto"/>
        <w:bottom w:val="none" w:sz="0" w:space="0" w:color="auto"/>
        <w:right w:val="none" w:sz="0" w:space="0" w:color="auto"/>
      </w:divBdr>
    </w:div>
    <w:div w:id="335229049">
      <w:bodyDiv w:val="1"/>
      <w:marLeft w:val="0"/>
      <w:marRight w:val="0"/>
      <w:marTop w:val="0"/>
      <w:marBottom w:val="0"/>
      <w:divBdr>
        <w:top w:val="none" w:sz="0" w:space="0" w:color="auto"/>
        <w:left w:val="none" w:sz="0" w:space="0" w:color="auto"/>
        <w:bottom w:val="none" w:sz="0" w:space="0" w:color="auto"/>
        <w:right w:val="none" w:sz="0" w:space="0" w:color="auto"/>
      </w:divBdr>
      <w:divsChild>
        <w:div w:id="102502308">
          <w:marLeft w:val="0"/>
          <w:marRight w:val="0"/>
          <w:marTop w:val="0"/>
          <w:marBottom w:val="0"/>
          <w:divBdr>
            <w:top w:val="none" w:sz="0" w:space="0" w:color="auto"/>
            <w:left w:val="none" w:sz="0" w:space="0" w:color="auto"/>
            <w:bottom w:val="none" w:sz="0" w:space="0" w:color="auto"/>
            <w:right w:val="none" w:sz="0" w:space="0" w:color="auto"/>
          </w:divBdr>
          <w:divsChild>
            <w:div w:id="442068316">
              <w:marLeft w:val="0"/>
              <w:marRight w:val="0"/>
              <w:marTop w:val="0"/>
              <w:marBottom w:val="0"/>
              <w:divBdr>
                <w:top w:val="none" w:sz="0" w:space="0" w:color="auto"/>
                <w:left w:val="none" w:sz="0" w:space="0" w:color="auto"/>
                <w:bottom w:val="none" w:sz="0" w:space="0" w:color="auto"/>
                <w:right w:val="none" w:sz="0" w:space="0" w:color="auto"/>
              </w:divBdr>
              <w:divsChild>
                <w:div w:id="5648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30064">
      <w:bodyDiv w:val="1"/>
      <w:marLeft w:val="0"/>
      <w:marRight w:val="0"/>
      <w:marTop w:val="0"/>
      <w:marBottom w:val="0"/>
      <w:divBdr>
        <w:top w:val="none" w:sz="0" w:space="0" w:color="auto"/>
        <w:left w:val="none" w:sz="0" w:space="0" w:color="auto"/>
        <w:bottom w:val="none" w:sz="0" w:space="0" w:color="auto"/>
        <w:right w:val="none" w:sz="0" w:space="0" w:color="auto"/>
      </w:divBdr>
    </w:div>
    <w:div w:id="886843538">
      <w:bodyDiv w:val="1"/>
      <w:marLeft w:val="0"/>
      <w:marRight w:val="0"/>
      <w:marTop w:val="0"/>
      <w:marBottom w:val="0"/>
      <w:divBdr>
        <w:top w:val="none" w:sz="0" w:space="0" w:color="auto"/>
        <w:left w:val="none" w:sz="0" w:space="0" w:color="auto"/>
        <w:bottom w:val="none" w:sz="0" w:space="0" w:color="auto"/>
        <w:right w:val="none" w:sz="0" w:space="0" w:color="auto"/>
      </w:divBdr>
      <w:divsChild>
        <w:div w:id="1422144347">
          <w:marLeft w:val="1080"/>
          <w:marRight w:val="0"/>
          <w:marTop w:val="100"/>
          <w:marBottom w:val="0"/>
          <w:divBdr>
            <w:top w:val="none" w:sz="0" w:space="0" w:color="auto"/>
            <w:left w:val="none" w:sz="0" w:space="0" w:color="auto"/>
            <w:bottom w:val="none" w:sz="0" w:space="0" w:color="auto"/>
            <w:right w:val="none" w:sz="0" w:space="0" w:color="auto"/>
          </w:divBdr>
        </w:div>
        <w:div w:id="1135098624">
          <w:marLeft w:val="1080"/>
          <w:marRight w:val="0"/>
          <w:marTop w:val="100"/>
          <w:marBottom w:val="0"/>
          <w:divBdr>
            <w:top w:val="none" w:sz="0" w:space="0" w:color="auto"/>
            <w:left w:val="none" w:sz="0" w:space="0" w:color="auto"/>
            <w:bottom w:val="none" w:sz="0" w:space="0" w:color="auto"/>
            <w:right w:val="none" w:sz="0" w:space="0" w:color="auto"/>
          </w:divBdr>
        </w:div>
        <w:div w:id="769085531">
          <w:marLeft w:val="1080"/>
          <w:marRight w:val="0"/>
          <w:marTop w:val="100"/>
          <w:marBottom w:val="0"/>
          <w:divBdr>
            <w:top w:val="none" w:sz="0" w:space="0" w:color="auto"/>
            <w:left w:val="none" w:sz="0" w:space="0" w:color="auto"/>
            <w:bottom w:val="none" w:sz="0" w:space="0" w:color="auto"/>
            <w:right w:val="none" w:sz="0" w:space="0" w:color="auto"/>
          </w:divBdr>
        </w:div>
        <w:div w:id="1314988468">
          <w:marLeft w:val="1080"/>
          <w:marRight w:val="0"/>
          <w:marTop w:val="100"/>
          <w:marBottom w:val="0"/>
          <w:divBdr>
            <w:top w:val="none" w:sz="0" w:space="0" w:color="auto"/>
            <w:left w:val="none" w:sz="0" w:space="0" w:color="auto"/>
            <w:bottom w:val="none" w:sz="0" w:space="0" w:color="auto"/>
            <w:right w:val="none" w:sz="0" w:space="0" w:color="auto"/>
          </w:divBdr>
        </w:div>
        <w:div w:id="1893344665">
          <w:marLeft w:val="1080"/>
          <w:marRight w:val="0"/>
          <w:marTop w:val="100"/>
          <w:marBottom w:val="0"/>
          <w:divBdr>
            <w:top w:val="none" w:sz="0" w:space="0" w:color="auto"/>
            <w:left w:val="none" w:sz="0" w:space="0" w:color="auto"/>
            <w:bottom w:val="none" w:sz="0" w:space="0" w:color="auto"/>
            <w:right w:val="none" w:sz="0" w:space="0" w:color="auto"/>
          </w:divBdr>
        </w:div>
        <w:div w:id="1283221894">
          <w:marLeft w:val="1080"/>
          <w:marRight w:val="0"/>
          <w:marTop w:val="100"/>
          <w:marBottom w:val="0"/>
          <w:divBdr>
            <w:top w:val="none" w:sz="0" w:space="0" w:color="auto"/>
            <w:left w:val="none" w:sz="0" w:space="0" w:color="auto"/>
            <w:bottom w:val="none" w:sz="0" w:space="0" w:color="auto"/>
            <w:right w:val="none" w:sz="0" w:space="0" w:color="auto"/>
          </w:divBdr>
        </w:div>
        <w:div w:id="1273591010">
          <w:marLeft w:val="1080"/>
          <w:marRight w:val="0"/>
          <w:marTop w:val="100"/>
          <w:marBottom w:val="0"/>
          <w:divBdr>
            <w:top w:val="none" w:sz="0" w:space="0" w:color="auto"/>
            <w:left w:val="none" w:sz="0" w:space="0" w:color="auto"/>
            <w:bottom w:val="none" w:sz="0" w:space="0" w:color="auto"/>
            <w:right w:val="none" w:sz="0" w:space="0" w:color="auto"/>
          </w:divBdr>
        </w:div>
      </w:divsChild>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1146749436">
      <w:bodyDiv w:val="1"/>
      <w:marLeft w:val="0"/>
      <w:marRight w:val="0"/>
      <w:marTop w:val="0"/>
      <w:marBottom w:val="0"/>
      <w:divBdr>
        <w:top w:val="none" w:sz="0" w:space="0" w:color="auto"/>
        <w:left w:val="none" w:sz="0" w:space="0" w:color="auto"/>
        <w:bottom w:val="none" w:sz="0" w:space="0" w:color="auto"/>
        <w:right w:val="none" w:sz="0" w:space="0" w:color="auto"/>
      </w:divBdr>
    </w:div>
    <w:div w:id="1185096162">
      <w:bodyDiv w:val="1"/>
      <w:marLeft w:val="0"/>
      <w:marRight w:val="0"/>
      <w:marTop w:val="0"/>
      <w:marBottom w:val="0"/>
      <w:divBdr>
        <w:top w:val="none" w:sz="0" w:space="0" w:color="auto"/>
        <w:left w:val="none" w:sz="0" w:space="0" w:color="auto"/>
        <w:bottom w:val="none" w:sz="0" w:space="0" w:color="auto"/>
        <w:right w:val="none" w:sz="0" w:space="0" w:color="auto"/>
      </w:divBdr>
    </w:div>
    <w:div w:id="1186212700">
      <w:bodyDiv w:val="1"/>
      <w:marLeft w:val="0"/>
      <w:marRight w:val="0"/>
      <w:marTop w:val="0"/>
      <w:marBottom w:val="0"/>
      <w:divBdr>
        <w:top w:val="none" w:sz="0" w:space="0" w:color="auto"/>
        <w:left w:val="none" w:sz="0" w:space="0" w:color="auto"/>
        <w:bottom w:val="none" w:sz="0" w:space="0" w:color="auto"/>
        <w:right w:val="none" w:sz="0" w:space="0" w:color="auto"/>
      </w:divBdr>
    </w:div>
    <w:div w:id="1283607300">
      <w:bodyDiv w:val="1"/>
      <w:marLeft w:val="0"/>
      <w:marRight w:val="0"/>
      <w:marTop w:val="0"/>
      <w:marBottom w:val="0"/>
      <w:divBdr>
        <w:top w:val="none" w:sz="0" w:space="0" w:color="auto"/>
        <w:left w:val="none" w:sz="0" w:space="0" w:color="auto"/>
        <w:bottom w:val="none" w:sz="0" w:space="0" w:color="auto"/>
        <w:right w:val="none" w:sz="0" w:space="0" w:color="auto"/>
      </w:divBdr>
      <w:divsChild>
        <w:div w:id="74979294">
          <w:marLeft w:val="0"/>
          <w:marRight w:val="0"/>
          <w:marTop w:val="0"/>
          <w:marBottom w:val="0"/>
          <w:divBdr>
            <w:top w:val="none" w:sz="0" w:space="0" w:color="auto"/>
            <w:left w:val="none" w:sz="0" w:space="0" w:color="auto"/>
            <w:bottom w:val="none" w:sz="0" w:space="0" w:color="auto"/>
            <w:right w:val="none" w:sz="0" w:space="0" w:color="auto"/>
          </w:divBdr>
        </w:div>
        <w:div w:id="1103917673">
          <w:marLeft w:val="0"/>
          <w:marRight w:val="0"/>
          <w:marTop w:val="0"/>
          <w:marBottom w:val="0"/>
          <w:divBdr>
            <w:top w:val="none" w:sz="0" w:space="0" w:color="auto"/>
            <w:left w:val="none" w:sz="0" w:space="0" w:color="auto"/>
            <w:bottom w:val="none" w:sz="0" w:space="0" w:color="auto"/>
            <w:right w:val="none" w:sz="0" w:space="0" w:color="auto"/>
          </w:divBdr>
        </w:div>
        <w:div w:id="1443528648">
          <w:marLeft w:val="0"/>
          <w:marRight w:val="0"/>
          <w:marTop w:val="0"/>
          <w:marBottom w:val="0"/>
          <w:divBdr>
            <w:top w:val="none" w:sz="0" w:space="0" w:color="auto"/>
            <w:left w:val="none" w:sz="0" w:space="0" w:color="auto"/>
            <w:bottom w:val="none" w:sz="0" w:space="0" w:color="auto"/>
            <w:right w:val="none" w:sz="0" w:space="0" w:color="auto"/>
          </w:divBdr>
        </w:div>
      </w:divsChild>
    </w:div>
    <w:div w:id="1506362157">
      <w:bodyDiv w:val="1"/>
      <w:marLeft w:val="0"/>
      <w:marRight w:val="0"/>
      <w:marTop w:val="0"/>
      <w:marBottom w:val="0"/>
      <w:divBdr>
        <w:top w:val="none" w:sz="0" w:space="0" w:color="auto"/>
        <w:left w:val="none" w:sz="0" w:space="0" w:color="auto"/>
        <w:bottom w:val="none" w:sz="0" w:space="0" w:color="auto"/>
        <w:right w:val="none" w:sz="0" w:space="0" w:color="auto"/>
      </w:divBdr>
      <w:divsChild>
        <w:div w:id="415564588">
          <w:marLeft w:val="1080"/>
          <w:marRight w:val="0"/>
          <w:marTop w:val="100"/>
          <w:marBottom w:val="0"/>
          <w:divBdr>
            <w:top w:val="none" w:sz="0" w:space="0" w:color="auto"/>
            <w:left w:val="none" w:sz="0" w:space="0" w:color="auto"/>
            <w:bottom w:val="none" w:sz="0" w:space="0" w:color="auto"/>
            <w:right w:val="none" w:sz="0" w:space="0" w:color="auto"/>
          </w:divBdr>
        </w:div>
        <w:div w:id="383718873">
          <w:marLeft w:val="1080"/>
          <w:marRight w:val="0"/>
          <w:marTop w:val="100"/>
          <w:marBottom w:val="0"/>
          <w:divBdr>
            <w:top w:val="none" w:sz="0" w:space="0" w:color="auto"/>
            <w:left w:val="none" w:sz="0" w:space="0" w:color="auto"/>
            <w:bottom w:val="none" w:sz="0" w:space="0" w:color="auto"/>
            <w:right w:val="none" w:sz="0" w:space="0" w:color="auto"/>
          </w:divBdr>
        </w:div>
        <w:div w:id="79983048">
          <w:marLeft w:val="1080"/>
          <w:marRight w:val="0"/>
          <w:marTop w:val="100"/>
          <w:marBottom w:val="0"/>
          <w:divBdr>
            <w:top w:val="none" w:sz="0" w:space="0" w:color="auto"/>
            <w:left w:val="none" w:sz="0" w:space="0" w:color="auto"/>
            <w:bottom w:val="none" w:sz="0" w:space="0" w:color="auto"/>
            <w:right w:val="none" w:sz="0" w:space="0" w:color="auto"/>
          </w:divBdr>
        </w:div>
        <w:div w:id="1962225327">
          <w:marLeft w:val="1080"/>
          <w:marRight w:val="0"/>
          <w:marTop w:val="100"/>
          <w:marBottom w:val="0"/>
          <w:divBdr>
            <w:top w:val="none" w:sz="0" w:space="0" w:color="auto"/>
            <w:left w:val="none" w:sz="0" w:space="0" w:color="auto"/>
            <w:bottom w:val="none" w:sz="0" w:space="0" w:color="auto"/>
            <w:right w:val="none" w:sz="0" w:space="0" w:color="auto"/>
          </w:divBdr>
        </w:div>
        <w:div w:id="1703088761">
          <w:marLeft w:val="1080"/>
          <w:marRight w:val="0"/>
          <w:marTop w:val="100"/>
          <w:marBottom w:val="0"/>
          <w:divBdr>
            <w:top w:val="none" w:sz="0" w:space="0" w:color="auto"/>
            <w:left w:val="none" w:sz="0" w:space="0" w:color="auto"/>
            <w:bottom w:val="none" w:sz="0" w:space="0" w:color="auto"/>
            <w:right w:val="none" w:sz="0" w:space="0" w:color="auto"/>
          </w:divBdr>
        </w:div>
        <w:div w:id="1598975226">
          <w:marLeft w:val="1080"/>
          <w:marRight w:val="0"/>
          <w:marTop w:val="100"/>
          <w:marBottom w:val="0"/>
          <w:divBdr>
            <w:top w:val="none" w:sz="0" w:space="0" w:color="auto"/>
            <w:left w:val="none" w:sz="0" w:space="0" w:color="auto"/>
            <w:bottom w:val="none" w:sz="0" w:space="0" w:color="auto"/>
            <w:right w:val="none" w:sz="0" w:space="0" w:color="auto"/>
          </w:divBdr>
        </w:div>
        <w:div w:id="5258006">
          <w:marLeft w:val="1080"/>
          <w:marRight w:val="0"/>
          <w:marTop w:val="100"/>
          <w:marBottom w:val="0"/>
          <w:divBdr>
            <w:top w:val="none" w:sz="0" w:space="0" w:color="auto"/>
            <w:left w:val="none" w:sz="0" w:space="0" w:color="auto"/>
            <w:bottom w:val="none" w:sz="0" w:space="0" w:color="auto"/>
            <w:right w:val="none" w:sz="0" w:space="0" w:color="auto"/>
          </w:divBdr>
        </w:div>
      </w:divsChild>
    </w:div>
    <w:div w:id="1518428542">
      <w:bodyDiv w:val="1"/>
      <w:marLeft w:val="0"/>
      <w:marRight w:val="0"/>
      <w:marTop w:val="0"/>
      <w:marBottom w:val="0"/>
      <w:divBdr>
        <w:top w:val="none" w:sz="0" w:space="0" w:color="auto"/>
        <w:left w:val="none" w:sz="0" w:space="0" w:color="auto"/>
        <w:bottom w:val="none" w:sz="0" w:space="0" w:color="auto"/>
        <w:right w:val="none" w:sz="0" w:space="0" w:color="auto"/>
      </w:divBdr>
      <w:divsChild>
        <w:div w:id="482428812">
          <w:marLeft w:val="0"/>
          <w:marRight w:val="0"/>
          <w:marTop w:val="240"/>
          <w:marBottom w:val="240"/>
          <w:divBdr>
            <w:top w:val="none" w:sz="0" w:space="0" w:color="auto"/>
            <w:left w:val="none" w:sz="0" w:space="0" w:color="auto"/>
            <w:bottom w:val="none" w:sz="0" w:space="0" w:color="auto"/>
            <w:right w:val="none" w:sz="0" w:space="0" w:color="auto"/>
          </w:divBdr>
        </w:div>
      </w:divsChild>
    </w:div>
    <w:div w:id="1568607722">
      <w:bodyDiv w:val="1"/>
      <w:marLeft w:val="0"/>
      <w:marRight w:val="0"/>
      <w:marTop w:val="0"/>
      <w:marBottom w:val="0"/>
      <w:divBdr>
        <w:top w:val="none" w:sz="0" w:space="0" w:color="auto"/>
        <w:left w:val="none" w:sz="0" w:space="0" w:color="auto"/>
        <w:bottom w:val="none" w:sz="0" w:space="0" w:color="auto"/>
        <w:right w:val="none" w:sz="0" w:space="0" w:color="auto"/>
      </w:divBdr>
      <w:divsChild>
        <w:div w:id="2144958018">
          <w:marLeft w:val="0"/>
          <w:marRight w:val="0"/>
          <w:marTop w:val="0"/>
          <w:marBottom w:val="0"/>
          <w:divBdr>
            <w:top w:val="none" w:sz="0" w:space="0" w:color="auto"/>
            <w:left w:val="none" w:sz="0" w:space="0" w:color="auto"/>
            <w:bottom w:val="none" w:sz="0" w:space="0" w:color="auto"/>
            <w:right w:val="none" w:sz="0" w:space="0" w:color="auto"/>
          </w:divBdr>
          <w:divsChild>
            <w:div w:id="1185898506">
              <w:marLeft w:val="0"/>
              <w:marRight w:val="0"/>
              <w:marTop w:val="0"/>
              <w:marBottom w:val="0"/>
              <w:divBdr>
                <w:top w:val="none" w:sz="0" w:space="0" w:color="auto"/>
                <w:left w:val="none" w:sz="0" w:space="0" w:color="auto"/>
                <w:bottom w:val="none" w:sz="0" w:space="0" w:color="auto"/>
                <w:right w:val="none" w:sz="0" w:space="0" w:color="auto"/>
              </w:divBdr>
            </w:div>
            <w:div w:id="361785762">
              <w:marLeft w:val="0"/>
              <w:marRight w:val="0"/>
              <w:marTop w:val="0"/>
              <w:marBottom w:val="0"/>
              <w:divBdr>
                <w:top w:val="none" w:sz="0" w:space="0" w:color="auto"/>
                <w:left w:val="none" w:sz="0" w:space="0" w:color="auto"/>
                <w:bottom w:val="none" w:sz="0" w:space="0" w:color="auto"/>
                <w:right w:val="none" w:sz="0" w:space="0" w:color="auto"/>
              </w:divBdr>
            </w:div>
            <w:div w:id="455030085">
              <w:marLeft w:val="0"/>
              <w:marRight w:val="0"/>
              <w:marTop w:val="0"/>
              <w:marBottom w:val="0"/>
              <w:divBdr>
                <w:top w:val="none" w:sz="0" w:space="0" w:color="auto"/>
                <w:left w:val="none" w:sz="0" w:space="0" w:color="auto"/>
                <w:bottom w:val="none" w:sz="0" w:space="0" w:color="auto"/>
                <w:right w:val="none" w:sz="0" w:space="0" w:color="auto"/>
              </w:divBdr>
            </w:div>
            <w:div w:id="554120473">
              <w:marLeft w:val="0"/>
              <w:marRight w:val="0"/>
              <w:marTop w:val="0"/>
              <w:marBottom w:val="0"/>
              <w:divBdr>
                <w:top w:val="none" w:sz="0" w:space="0" w:color="auto"/>
                <w:left w:val="none" w:sz="0" w:space="0" w:color="auto"/>
                <w:bottom w:val="none" w:sz="0" w:space="0" w:color="auto"/>
                <w:right w:val="none" w:sz="0" w:space="0" w:color="auto"/>
              </w:divBdr>
            </w:div>
            <w:div w:id="506479014">
              <w:marLeft w:val="0"/>
              <w:marRight w:val="0"/>
              <w:marTop w:val="0"/>
              <w:marBottom w:val="0"/>
              <w:divBdr>
                <w:top w:val="none" w:sz="0" w:space="0" w:color="auto"/>
                <w:left w:val="none" w:sz="0" w:space="0" w:color="auto"/>
                <w:bottom w:val="none" w:sz="0" w:space="0" w:color="auto"/>
                <w:right w:val="none" w:sz="0" w:space="0" w:color="auto"/>
              </w:divBdr>
            </w:div>
            <w:div w:id="458456165">
              <w:marLeft w:val="0"/>
              <w:marRight w:val="0"/>
              <w:marTop w:val="0"/>
              <w:marBottom w:val="0"/>
              <w:divBdr>
                <w:top w:val="none" w:sz="0" w:space="0" w:color="auto"/>
                <w:left w:val="none" w:sz="0" w:space="0" w:color="auto"/>
                <w:bottom w:val="none" w:sz="0" w:space="0" w:color="auto"/>
                <w:right w:val="none" w:sz="0" w:space="0" w:color="auto"/>
              </w:divBdr>
            </w:div>
            <w:div w:id="1844080433">
              <w:marLeft w:val="0"/>
              <w:marRight w:val="0"/>
              <w:marTop w:val="0"/>
              <w:marBottom w:val="0"/>
              <w:divBdr>
                <w:top w:val="none" w:sz="0" w:space="0" w:color="auto"/>
                <w:left w:val="none" w:sz="0" w:space="0" w:color="auto"/>
                <w:bottom w:val="none" w:sz="0" w:space="0" w:color="auto"/>
                <w:right w:val="none" w:sz="0" w:space="0" w:color="auto"/>
              </w:divBdr>
            </w:div>
            <w:div w:id="1413620932">
              <w:marLeft w:val="0"/>
              <w:marRight w:val="0"/>
              <w:marTop w:val="0"/>
              <w:marBottom w:val="0"/>
              <w:divBdr>
                <w:top w:val="none" w:sz="0" w:space="0" w:color="auto"/>
                <w:left w:val="none" w:sz="0" w:space="0" w:color="auto"/>
                <w:bottom w:val="none" w:sz="0" w:space="0" w:color="auto"/>
                <w:right w:val="none" w:sz="0" w:space="0" w:color="auto"/>
              </w:divBdr>
            </w:div>
          </w:divsChild>
        </w:div>
        <w:div w:id="2138058250">
          <w:marLeft w:val="0"/>
          <w:marRight w:val="0"/>
          <w:marTop w:val="0"/>
          <w:marBottom w:val="0"/>
          <w:divBdr>
            <w:top w:val="none" w:sz="0" w:space="0" w:color="auto"/>
            <w:left w:val="none" w:sz="0" w:space="0" w:color="auto"/>
            <w:bottom w:val="none" w:sz="0" w:space="0" w:color="auto"/>
            <w:right w:val="none" w:sz="0" w:space="0" w:color="auto"/>
          </w:divBdr>
        </w:div>
        <w:div w:id="1514301506">
          <w:marLeft w:val="0"/>
          <w:marRight w:val="0"/>
          <w:marTop w:val="0"/>
          <w:marBottom w:val="0"/>
          <w:divBdr>
            <w:top w:val="none" w:sz="0" w:space="0" w:color="auto"/>
            <w:left w:val="none" w:sz="0" w:space="0" w:color="auto"/>
            <w:bottom w:val="none" w:sz="0" w:space="0" w:color="auto"/>
            <w:right w:val="none" w:sz="0" w:space="0" w:color="auto"/>
          </w:divBdr>
          <w:divsChild>
            <w:div w:id="15481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51436">
      <w:bodyDiv w:val="1"/>
      <w:marLeft w:val="0"/>
      <w:marRight w:val="0"/>
      <w:marTop w:val="0"/>
      <w:marBottom w:val="0"/>
      <w:divBdr>
        <w:top w:val="none" w:sz="0" w:space="0" w:color="auto"/>
        <w:left w:val="none" w:sz="0" w:space="0" w:color="auto"/>
        <w:bottom w:val="none" w:sz="0" w:space="0" w:color="auto"/>
        <w:right w:val="none" w:sz="0" w:space="0" w:color="auto"/>
      </w:divBdr>
    </w:div>
    <w:div w:id="19307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2022/Alma_2022_Release_Notes?mon=202205BASE"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0710C9"/>
    <w:rsid w:val="000C66EF"/>
    <w:rsid w:val="001D43AB"/>
    <w:rsid w:val="0020716B"/>
    <w:rsid w:val="00253EAA"/>
    <w:rsid w:val="0030047C"/>
    <w:rsid w:val="003942C8"/>
    <w:rsid w:val="003C51E5"/>
    <w:rsid w:val="00496622"/>
    <w:rsid w:val="006378F0"/>
    <w:rsid w:val="006816E7"/>
    <w:rsid w:val="006D448B"/>
    <w:rsid w:val="006E63FF"/>
    <w:rsid w:val="006E761A"/>
    <w:rsid w:val="008F5EF0"/>
    <w:rsid w:val="00A67A04"/>
    <w:rsid w:val="00AB00C3"/>
    <w:rsid w:val="00B20AE5"/>
    <w:rsid w:val="00C66D07"/>
    <w:rsid w:val="00DD50BF"/>
    <w:rsid w:val="00E22BFD"/>
    <w:rsid w:val="00E32E7A"/>
    <w:rsid w:val="00ED703A"/>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B8544-40EB-4864-8C55-FF693C5F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9</Pages>
  <Words>1184</Words>
  <Characters>6518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Note de version Alma – Mai 2022</vt:lpstr>
    </vt:vector>
  </TitlesOfParts>
  <Company>Microsoft</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Mai 2022</dc:title>
  <dc:subject/>
  <dc:creator>Loïc Ducasse</dc:creator>
  <cp:keywords/>
  <dc:description/>
  <cp:lastModifiedBy>Loic Ducasse</cp:lastModifiedBy>
  <cp:revision>8</cp:revision>
  <dcterms:created xsi:type="dcterms:W3CDTF">2022-04-28T08:57:00Z</dcterms:created>
  <dcterms:modified xsi:type="dcterms:W3CDTF">2022-04-29T13:31:00Z</dcterms:modified>
</cp:coreProperties>
</file>