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5A4C71B1" w:rsidR="009922B4" w:rsidRPr="0000222F" w:rsidRDefault="00A56652" w:rsidP="0000222F">
      <w:pPr>
        <w:pStyle w:val="Citationintense"/>
        <w:rPr>
          <w:rStyle w:val="Emphaseple"/>
          <w:b/>
          <w:sz w:val="56"/>
        </w:rPr>
      </w:pPr>
      <w:r>
        <w:rPr>
          <w:rStyle w:val="Emphaseple"/>
          <w:b/>
          <w:sz w:val="56"/>
        </w:rPr>
        <w:t>Août</w:t>
      </w:r>
      <w:r w:rsidR="00B929D2">
        <w:rPr>
          <w:rStyle w:val="Emphaseple"/>
          <w:b/>
          <w:sz w:val="56"/>
        </w:rPr>
        <w:t xml:space="preserve"> 2021</w:t>
      </w:r>
    </w:p>
    <w:p w14:paraId="08EA3FC0" w14:textId="77777777" w:rsidR="004B003B" w:rsidRDefault="004B003B" w:rsidP="004B003B"/>
    <w:p w14:paraId="274E7924" w14:textId="77777777" w:rsidR="00A56652" w:rsidRPr="00A56652" w:rsidRDefault="009868D5" w:rsidP="003C33C9">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r w:rsidR="00A56652">
        <w:fldChar w:fldCharType="begin"/>
      </w:r>
      <w:r w:rsidR="00A56652">
        <w:instrText xml:space="preserve"> HYPERLINK "</w:instrText>
      </w:r>
      <w:r w:rsidR="00A56652" w:rsidRPr="00A56652">
        <w:instrText>https://knowledge.exlibrisgroup.com/Alma/Release_Notes/2021/Alma_2021_Release_Notes?mon=202108BASE</w:instrText>
      </w:r>
    </w:p>
    <w:p w14:paraId="088A1A25" w14:textId="77777777" w:rsidR="00A56652" w:rsidRPr="0038547D" w:rsidRDefault="00A56652" w:rsidP="003C33C9">
      <w:pPr>
        <w:rPr>
          <w:rStyle w:val="Lienhypertexte"/>
        </w:rPr>
      </w:pPr>
      <w:r>
        <w:instrText xml:space="preserve">" </w:instrText>
      </w:r>
      <w:r>
        <w:fldChar w:fldCharType="separate"/>
      </w:r>
      <w:r w:rsidRPr="0038547D">
        <w:rPr>
          <w:rStyle w:val="Lienhypertexte"/>
        </w:rPr>
        <w:t>https://knowledge.exlibrisgroup.com/Alma/Release_Notes/2021/Alma_2021_Release_Notes?mon=202108BASE</w:t>
      </w:r>
    </w:p>
    <w:p w14:paraId="7EFA87FD" w14:textId="3519BC88" w:rsidR="00ED6EC1" w:rsidRDefault="00A56652" w:rsidP="003C33C9">
      <w:r>
        <w:fldChar w:fldCharType="end"/>
      </w:r>
    </w:p>
    <w:bookmarkEnd w:id="0"/>
    <w:bookmarkEnd w:id="1"/>
    <w:p w14:paraId="78EC3B35" w14:textId="272D6701" w:rsidR="009F5B3F" w:rsidRDefault="00A56652" w:rsidP="00481E05">
      <w:pPr>
        <w:jc w:val="both"/>
        <w:rPr>
          <w:sz w:val="40"/>
        </w:rPr>
      </w:pPr>
      <w:r>
        <w:rPr>
          <w:sz w:val="40"/>
        </w:rPr>
        <w:t>Gestion des données</w:t>
      </w:r>
      <w:r w:rsidR="009F5B3F">
        <w:rPr>
          <w:sz w:val="40"/>
        </w:rPr>
        <w:t xml:space="preserve"> </w:t>
      </w:r>
    </w:p>
    <w:p w14:paraId="4EF6D863" w14:textId="2695515D" w:rsidR="005B21A1" w:rsidRPr="005B21A1" w:rsidRDefault="00A56652" w:rsidP="00481E05">
      <w:pPr>
        <w:keepNext/>
        <w:keepLines/>
        <w:spacing w:before="40" w:after="0"/>
        <w:jc w:val="both"/>
        <w:outlineLvl w:val="1"/>
        <w:rPr>
          <w:rFonts w:eastAsia="Times New Roman" w:cstheme="minorHAnsi"/>
          <w:color w:val="000000"/>
          <w:sz w:val="32"/>
          <w:szCs w:val="32"/>
          <w:lang w:eastAsia="fr-FR"/>
        </w:rPr>
      </w:pPr>
      <w:r>
        <w:rPr>
          <w:rFonts w:eastAsia="Times New Roman" w:cstheme="minorHAnsi"/>
          <w:color w:val="000000"/>
          <w:sz w:val="32"/>
          <w:szCs w:val="32"/>
          <w:lang w:eastAsia="fr-FR"/>
        </w:rPr>
        <w:t>Affichage des états de collection</w:t>
      </w:r>
    </w:p>
    <w:p w14:paraId="3DC631EC" w14:textId="74C53930"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A56652">
        <w:rPr>
          <w:rFonts w:ascii="Helvetica" w:eastAsia="Times New Roman" w:hAnsi="Helvetica" w:cs="Helvetica"/>
          <w:color w:val="000000"/>
          <w:sz w:val="20"/>
          <w:szCs w:val="20"/>
          <w:lang w:eastAsia="fr-FR"/>
        </w:rPr>
        <w:t>On peut maintenant afficher les états de collection dans la liste des notices de fonds</w:t>
      </w:r>
      <w:r>
        <w:rPr>
          <w:rFonts w:ascii="Helvetica" w:eastAsia="Times New Roman" w:hAnsi="Helvetica" w:cs="Helvetica"/>
          <w:color w:val="000000"/>
          <w:sz w:val="20"/>
          <w:szCs w:val="20"/>
          <w:lang w:eastAsia="fr-FR"/>
        </w:rPr>
        <w:t xml:space="preserve">. </w:t>
      </w:r>
    </w:p>
    <w:p w14:paraId="7775FBCE" w14:textId="30934D69"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262AF3">
        <w:rPr>
          <w:noProof/>
          <w:lang w:eastAsia="fr-FR"/>
        </w:rPr>
        <w:drawing>
          <wp:inline distT="0" distB="0" distL="0" distR="0" wp14:anchorId="1E0D7955" wp14:editId="211B562B">
            <wp:extent cx="5651500" cy="1917668"/>
            <wp:effectExtent l="19050" t="19050" r="25400" b="260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8978" cy="1930385"/>
                    </a:xfrm>
                    <a:prstGeom prst="rect">
                      <a:avLst/>
                    </a:prstGeom>
                    <a:ln>
                      <a:solidFill>
                        <a:srgbClr val="0070C0"/>
                      </a:solidFill>
                    </a:ln>
                  </pic:spPr>
                </pic:pic>
              </a:graphicData>
            </a:graphic>
          </wp:inline>
        </w:drawing>
      </w:r>
    </w:p>
    <w:p w14:paraId="0449FC36" w14:textId="77777777"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A56652">
        <w:rPr>
          <w:rFonts w:ascii="Helvetica" w:eastAsia="Times New Roman" w:hAnsi="Helvetica" w:cs="Helvetica"/>
          <w:color w:val="000000"/>
          <w:sz w:val="20"/>
          <w:szCs w:val="20"/>
          <w:lang w:eastAsia="fr-FR"/>
        </w:rPr>
        <w:t xml:space="preserve"> </w:t>
      </w:r>
    </w:p>
    <w:p w14:paraId="0659629F" w14:textId="73846220"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A56652">
        <w:rPr>
          <w:rFonts w:ascii="Helvetica" w:eastAsia="Times New Roman" w:hAnsi="Helvetica" w:cs="Helvetica"/>
          <w:color w:val="000000"/>
          <w:sz w:val="20"/>
          <w:szCs w:val="20"/>
          <w:lang w:eastAsia="fr-FR"/>
        </w:rPr>
        <w:t>Selon la taille de votre écran, ajuster la largeur des colonnes pour que la nouvelle soit colonne soit visible</w:t>
      </w:r>
      <w:r>
        <w:rPr>
          <w:rFonts w:ascii="Helvetica" w:eastAsia="Times New Roman" w:hAnsi="Helvetica" w:cs="Helvetica"/>
          <w:color w:val="000000"/>
          <w:sz w:val="20"/>
          <w:szCs w:val="20"/>
          <w:lang w:eastAsia="fr-FR"/>
        </w:rPr>
        <w:t xml:space="preserve">. </w:t>
      </w:r>
    </w:p>
    <w:p w14:paraId="2E292B6E" w14:textId="394F8260"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262AF3">
        <w:rPr>
          <w:noProof/>
          <w:lang w:eastAsia="fr-FR"/>
        </w:rPr>
        <w:drawing>
          <wp:inline distT="0" distB="0" distL="0" distR="0" wp14:anchorId="3A496329" wp14:editId="24218CF3">
            <wp:extent cx="5645150" cy="1828165"/>
            <wp:effectExtent l="19050" t="19050" r="12700" b="196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7678" cy="1838699"/>
                    </a:xfrm>
                    <a:prstGeom prst="rect">
                      <a:avLst/>
                    </a:prstGeom>
                    <a:ln>
                      <a:solidFill>
                        <a:srgbClr val="0070C0"/>
                      </a:solidFill>
                    </a:ln>
                  </pic:spPr>
                </pic:pic>
              </a:graphicData>
            </a:graphic>
          </wp:inline>
        </w:drawing>
      </w:r>
    </w:p>
    <w:p w14:paraId="7C73E13E" w14:textId="77777777" w:rsidR="00A56652" w:rsidRPr="00A56652" w:rsidRDefault="00A56652" w:rsidP="00A56652">
      <w:pPr>
        <w:shd w:val="clear" w:color="auto" w:fill="FFFFFF"/>
        <w:jc w:val="both"/>
        <w:rPr>
          <w:rFonts w:ascii="Helvetica" w:eastAsia="Times New Roman" w:hAnsi="Helvetica" w:cs="Helvetica"/>
          <w:color w:val="000000"/>
          <w:sz w:val="20"/>
          <w:szCs w:val="20"/>
          <w:lang w:eastAsia="fr-FR"/>
        </w:rPr>
      </w:pPr>
      <w:r w:rsidRPr="00A56652">
        <w:rPr>
          <w:rFonts w:ascii="Helvetica" w:eastAsia="Times New Roman" w:hAnsi="Helvetica" w:cs="Helvetica"/>
          <w:color w:val="000000"/>
          <w:sz w:val="20"/>
          <w:szCs w:val="20"/>
          <w:lang w:eastAsia="fr-FR"/>
        </w:rPr>
        <w:lastRenderedPageBreak/>
        <w:t xml:space="preserve"> </w:t>
      </w:r>
    </w:p>
    <w:p w14:paraId="420DD955" w14:textId="23CEE137" w:rsidR="00A56652" w:rsidRPr="005B21A1" w:rsidRDefault="00A56652" w:rsidP="00A56652">
      <w:pPr>
        <w:keepNext/>
        <w:keepLines/>
        <w:spacing w:before="40" w:after="0"/>
        <w:jc w:val="both"/>
        <w:outlineLvl w:val="1"/>
        <w:rPr>
          <w:rFonts w:eastAsia="Times New Roman" w:cstheme="minorHAnsi"/>
          <w:color w:val="000000"/>
          <w:sz w:val="32"/>
          <w:szCs w:val="32"/>
          <w:lang w:eastAsia="fr-FR"/>
        </w:rPr>
      </w:pPr>
      <w:r>
        <w:rPr>
          <w:rFonts w:eastAsia="Times New Roman" w:cstheme="minorHAnsi"/>
          <w:color w:val="000000"/>
          <w:sz w:val="32"/>
          <w:szCs w:val="32"/>
          <w:lang w:eastAsia="fr-FR"/>
        </w:rPr>
        <w:t>Création des notices de fonds (champ bibliothèque 852 $b)</w:t>
      </w:r>
    </w:p>
    <w:p w14:paraId="26001586" w14:textId="6FC2882C" w:rsidR="00A56652" w:rsidRDefault="007D600C" w:rsidP="00481E05">
      <w:pPr>
        <w:shd w:val="clear" w:color="auto" w:fill="FFFFFF"/>
        <w:jc w:val="both"/>
        <w:rPr>
          <w:rFonts w:ascii="Helvetica" w:eastAsia="Times New Roman" w:hAnsi="Helvetica" w:cs="Helvetica"/>
          <w:color w:val="000000"/>
          <w:sz w:val="20"/>
          <w:szCs w:val="20"/>
          <w:lang w:eastAsia="fr-FR"/>
        </w:rPr>
      </w:pPr>
      <w:r w:rsidRPr="007D600C">
        <w:rPr>
          <w:rFonts w:ascii="Helvetica" w:eastAsia="Times New Roman" w:hAnsi="Helvetica" w:cs="Helvetica"/>
          <w:color w:val="000000"/>
          <w:sz w:val="20"/>
          <w:szCs w:val="20"/>
          <w:lang w:eastAsia="fr-FR"/>
        </w:rPr>
        <w:t>Le champ bibliothèque se remplit automat</w:t>
      </w:r>
      <w:r>
        <w:rPr>
          <w:rFonts w:ascii="Helvetica" w:eastAsia="Times New Roman" w:hAnsi="Helvetica" w:cs="Helvetica"/>
          <w:color w:val="000000"/>
          <w:sz w:val="20"/>
          <w:szCs w:val="20"/>
          <w:lang w:eastAsia="fr-FR"/>
        </w:rPr>
        <w:t>iquement si vous êtes localisé</w:t>
      </w:r>
      <w:r w:rsidRPr="007D600C">
        <w:rPr>
          <w:rFonts w:ascii="Helvetica" w:eastAsia="Times New Roman" w:hAnsi="Helvetica" w:cs="Helvetica"/>
          <w:color w:val="000000"/>
          <w:sz w:val="20"/>
          <w:szCs w:val="20"/>
          <w:lang w:eastAsia="fr-FR"/>
        </w:rPr>
        <w:t xml:space="preserve"> à un bureau de prêt ou </w:t>
      </w:r>
      <w:r>
        <w:rPr>
          <w:rFonts w:ascii="Helvetica" w:eastAsia="Times New Roman" w:hAnsi="Helvetica" w:cs="Helvetica"/>
          <w:color w:val="000000"/>
          <w:sz w:val="20"/>
          <w:szCs w:val="20"/>
          <w:lang w:eastAsia="fr-FR"/>
        </w:rPr>
        <w:t>un</w:t>
      </w:r>
      <w:r w:rsidRPr="007D600C">
        <w:rPr>
          <w:rFonts w:ascii="Helvetica" w:eastAsia="Times New Roman" w:hAnsi="Helvetica" w:cs="Helvetica"/>
          <w:color w:val="000000"/>
          <w:sz w:val="20"/>
          <w:szCs w:val="20"/>
          <w:lang w:eastAsia="fr-FR"/>
        </w:rPr>
        <w:t xml:space="preserve"> département des acquisitions</w:t>
      </w:r>
      <w:r>
        <w:rPr>
          <w:rFonts w:ascii="Helvetica" w:eastAsia="Times New Roman" w:hAnsi="Helvetica" w:cs="Helvetica"/>
          <w:color w:val="000000"/>
          <w:sz w:val="20"/>
          <w:szCs w:val="20"/>
          <w:lang w:eastAsia="fr-FR"/>
        </w:rPr>
        <w:t xml:space="preserve"> ou de traitement. </w:t>
      </w:r>
    </w:p>
    <w:p w14:paraId="14EEE1B2" w14:textId="4B32700F" w:rsidR="007D600C" w:rsidRDefault="007D600C" w:rsidP="00481E05">
      <w:pPr>
        <w:shd w:val="clear" w:color="auto" w:fill="FFFFFF"/>
        <w:jc w:val="both"/>
        <w:rPr>
          <w:rFonts w:ascii="Helvetica" w:eastAsia="Times New Roman" w:hAnsi="Helvetica" w:cs="Helvetica"/>
          <w:color w:val="000000"/>
          <w:sz w:val="20"/>
          <w:szCs w:val="20"/>
          <w:lang w:eastAsia="fr-FR"/>
        </w:rPr>
      </w:pPr>
      <w:r w:rsidRPr="00535EEE">
        <w:rPr>
          <w:noProof/>
          <w:lang w:eastAsia="fr-FR"/>
        </w:rPr>
        <w:drawing>
          <wp:inline distT="0" distB="0" distL="0" distR="0" wp14:anchorId="6901D8CC" wp14:editId="08D1C026">
            <wp:extent cx="5760720" cy="2013995"/>
            <wp:effectExtent l="19050" t="19050" r="11430" b="2476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013995"/>
                    </a:xfrm>
                    <a:prstGeom prst="rect">
                      <a:avLst/>
                    </a:prstGeom>
                    <a:ln>
                      <a:solidFill>
                        <a:schemeClr val="accent1"/>
                      </a:solidFill>
                    </a:ln>
                  </pic:spPr>
                </pic:pic>
              </a:graphicData>
            </a:graphic>
          </wp:inline>
        </w:drawing>
      </w:r>
    </w:p>
    <w:p w14:paraId="69CE49BE" w14:textId="0E08EDC0" w:rsidR="007D600C" w:rsidRDefault="007D600C" w:rsidP="00481E05">
      <w:pPr>
        <w:shd w:val="clear" w:color="auto" w:fill="FFFFFF"/>
        <w:jc w:val="both"/>
        <w:rPr>
          <w:rFonts w:ascii="Helvetica" w:eastAsia="Times New Roman" w:hAnsi="Helvetica" w:cs="Helvetica"/>
          <w:color w:val="000000"/>
          <w:sz w:val="20"/>
          <w:szCs w:val="20"/>
          <w:lang w:eastAsia="fr-FR"/>
        </w:rPr>
      </w:pPr>
      <w:r w:rsidRPr="00211A33">
        <w:rPr>
          <w:noProof/>
          <w:lang w:eastAsia="fr-FR"/>
        </w:rPr>
        <w:drawing>
          <wp:inline distT="0" distB="0" distL="0" distR="0" wp14:anchorId="079593F4" wp14:editId="524582C6">
            <wp:extent cx="5760720" cy="1291291"/>
            <wp:effectExtent l="19050" t="19050" r="11430" b="2349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291291"/>
                    </a:xfrm>
                    <a:prstGeom prst="rect">
                      <a:avLst/>
                    </a:prstGeom>
                    <a:ln>
                      <a:solidFill>
                        <a:schemeClr val="accent1"/>
                      </a:solidFill>
                    </a:ln>
                  </pic:spPr>
                </pic:pic>
              </a:graphicData>
            </a:graphic>
          </wp:inline>
        </w:drawing>
      </w:r>
    </w:p>
    <w:p w14:paraId="120C0C8D" w14:textId="2AF35708" w:rsidR="007D600C" w:rsidRDefault="007D600C" w:rsidP="00481E05">
      <w:pPr>
        <w:shd w:val="clear" w:color="auto" w:fill="FFFFFF"/>
        <w:jc w:val="both"/>
        <w:rPr>
          <w:rFonts w:ascii="Helvetica" w:eastAsia="Times New Roman" w:hAnsi="Helvetica" w:cs="Helvetica"/>
          <w:color w:val="000000"/>
          <w:sz w:val="20"/>
          <w:szCs w:val="20"/>
          <w:lang w:eastAsia="fr-FR"/>
        </w:rPr>
      </w:pPr>
    </w:p>
    <w:p w14:paraId="40D8D842" w14:textId="77777777" w:rsidR="007D600C" w:rsidRDefault="007D600C" w:rsidP="00481E05">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En complément à cette évolution et dans tous les cas de figure, c’est-à-dire y compris lorsqu’aucune localisation n’est sélectionnée, Alma peut renseigner par défaut la bibliothèque pour laquelle l’utilisateur dispose du rôle d’opérateur d’inventaire. </w:t>
      </w:r>
    </w:p>
    <w:p w14:paraId="545EA725" w14:textId="0EEA92A5" w:rsidR="007D600C" w:rsidRDefault="007D600C" w:rsidP="00481E05">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Dans notre contexte actuel de fonctionnement, cette fonction de sélection par défaut nécessiterait de revoir le périmètre associé à ce rôle : pour tous les agents, il est actuellement positionné au niveau de l’institution, il faudrait donc le restreindre à une ou, suivant les établissements, à quelques bibliothèques (dans ce dernier cas, il n’y aurait pas de sélection par défaut, mais la liste des bibliothèques proposées serait restreinte aux bibliothèques pour lesquelles l’utilisateur dispose du rôle d’opérateur d’inventaire). </w:t>
      </w:r>
    </w:p>
    <w:p w14:paraId="58087B2A" w14:textId="47BBA181" w:rsidR="007D600C" w:rsidRDefault="007D600C" w:rsidP="00481E05">
      <w:pPr>
        <w:shd w:val="clear" w:color="auto" w:fill="FFFFFF"/>
        <w:jc w:val="both"/>
        <w:rPr>
          <w:rFonts w:ascii="Helvetica" w:eastAsia="Times New Roman" w:hAnsi="Helvetica" w:cs="Helvetica"/>
          <w:color w:val="000000"/>
          <w:sz w:val="20"/>
          <w:szCs w:val="20"/>
          <w:lang w:eastAsia="fr-FR"/>
        </w:rPr>
      </w:pPr>
    </w:p>
    <w:p w14:paraId="042FB958" w14:textId="20A1ABB2" w:rsidR="007D600C" w:rsidRDefault="007D600C" w:rsidP="00481E05">
      <w:pPr>
        <w:shd w:val="clear" w:color="auto" w:fill="FFFFFF"/>
        <w:jc w:val="both"/>
        <w:rPr>
          <w:rFonts w:ascii="Helvetica" w:eastAsia="Times New Roman" w:hAnsi="Helvetica" w:cs="Helvetica"/>
          <w:color w:val="000000"/>
          <w:sz w:val="20"/>
          <w:szCs w:val="20"/>
          <w:lang w:eastAsia="fr-FR"/>
        </w:rPr>
      </w:pPr>
    </w:p>
    <w:p w14:paraId="4750B53A" w14:textId="421B7D60" w:rsidR="00421F38" w:rsidRDefault="007D600C" w:rsidP="00481E05">
      <w:pPr>
        <w:shd w:val="clear" w:color="auto" w:fill="FFFFFF"/>
        <w:jc w:val="both"/>
        <w:rPr>
          <w:rFonts w:ascii="Helvetica" w:eastAsia="Times New Roman" w:hAnsi="Helvetica" w:cs="Helvetica"/>
          <w:color w:val="000000"/>
          <w:sz w:val="20"/>
          <w:szCs w:val="20"/>
          <w:lang w:eastAsia="fr-FR"/>
        </w:rPr>
      </w:pPr>
      <w:r>
        <w:rPr>
          <w:rFonts w:eastAsia="Times New Roman" w:cstheme="minorHAnsi"/>
          <w:color w:val="000000"/>
          <w:sz w:val="32"/>
          <w:szCs w:val="32"/>
          <w:lang w:eastAsia="fr-FR"/>
        </w:rPr>
        <w:t>Amélioration des fonctions d’affichage et de filtre en fonction de la localisation sélectionnée</w:t>
      </w:r>
    </w:p>
    <w:p w14:paraId="45B96353" w14:textId="71BAB858" w:rsidR="007D600C" w:rsidRDefault="007D600C" w:rsidP="007D600C">
      <w:pPr>
        <w:spacing w:after="0" w:line="240" w:lineRule="auto"/>
        <w:rPr>
          <w:rFonts w:ascii="Helvetica" w:hAnsi="Helvetica" w:cs="Helvetica"/>
          <w:sz w:val="20"/>
        </w:rPr>
      </w:pPr>
      <w:r w:rsidRPr="007D600C">
        <w:rPr>
          <w:rFonts w:ascii="Helvetica" w:hAnsi="Helvetica" w:cs="Helvetica"/>
          <w:sz w:val="20"/>
        </w:rPr>
        <w:t>Lorsque vous êtes localisé</w:t>
      </w:r>
      <w:r>
        <w:rPr>
          <w:rFonts w:ascii="Helvetica" w:hAnsi="Helvetica" w:cs="Helvetica"/>
          <w:sz w:val="20"/>
        </w:rPr>
        <w:t xml:space="preserve"> à un bureau de prêt, la ou les</w:t>
      </w:r>
      <w:r w:rsidRPr="007D600C">
        <w:rPr>
          <w:rFonts w:ascii="Helvetica" w:hAnsi="Helvetica" w:cs="Helvetica"/>
          <w:sz w:val="20"/>
        </w:rPr>
        <w:t xml:space="preserve"> notices de fonds de votre bibliothèque s’affiche</w:t>
      </w:r>
      <w:r>
        <w:rPr>
          <w:rFonts w:ascii="Helvetica" w:hAnsi="Helvetica" w:cs="Helvetica"/>
          <w:sz w:val="20"/>
        </w:rPr>
        <w:t>nt</w:t>
      </w:r>
      <w:r w:rsidRPr="007D600C">
        <w:rPr>
          <w:rFonts w:ascii="Helvetica" w:hAnsi="Helvetica" w:cs="Helvetica"/>
          <w:sz w:val="20"/>
        </w:rPr>
        <w:t xml:space="preserve"> en tête de liste</w:t>
      </w:r>
      <w:r>
        <w:rPr>
          <w:rFonts w:ascii="Helvetica" w:hAnsi="Helvetica" w:cs="Helvetica"/>
          <w:sz w:val="20"/>
        </w:rPr>
        <w:t xml:space="preserve">. </w:t>
      </w:r>
    </w:p>
    <w:p w14:paraId="233F089F" w14:textId="358AF789" w:rsidR="007D600C" w:rsidRDefault="007D600C" w:rsidP="007D600C">
      <w:pPr>
        <w:spacing w:after="0" w:line="240" w:lineRule="auto"/>
        <w:rPr>
          <w:rFonts w:ascii="Helvetica" w:hAnsi="Helvetica" w:cs="Helvetica"/>
          <w:sz w:val="20"/>
        </w:rPr>
      </w:pPr>
      <w:r w:rsidRPr="003A4887">
        <w:rPr>
          <w:noProof/>
          <w:lang w:eastAsia="fr-FR"/>
        </w:rPr>
        <w:lastRenderedPageBreak/>
        <w:drawing>
          <wp:inline distT="0" distB="0" distL="0" distR="0" wp14:anchorId="2F47054F" wp14:editId="7500B985">
            <wp:extent cx="5760720" cy="2064084"/>
            <wp:effectExtent l="19050" t="19050" r="1143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064084"/>
                    </a:xfrm>
                    <a:prstGeom prst="rect">
                      <a:avLst/>
                    </a:prstGeom>
                    <a:ln>
                      <a:solidFill>
                        <a:srgbClr val="0070C0"/>
                      </a:solidFill>
                    </a:ln>
                  </pic:spPr>
                </pic:pic>
              </a:graphicData>
            </a:graphic>
          </wp:inline>
        </w:drawing>
      </w:r>
    </w:p>
    <w:p w14:paraId="4D5D5860" w14:textId="5FAC469E" w:rsidR="007D600C" w:rsidRDefault="007D600C" w:rsidP="007D600C">
      <w:pPr>
        <w:spacing w:after="0" w:line="240" w:lineRule="auto"/>
        <w:rPr>
          <w:rFonts w:ascii="Helvetica" w:hAnsi="Helvetica" w:cs="Helvetica"/>
          <w:sz w:val="20"/>
        </w:rPr>
      </w:pPr>
    </w:p>
    <w:p w14:paraId="6F1E0EEF" w14:textId="2A545322" w:rsidR="007D600C" w:rsidRDefault="007D600C" w:rsidP="007D600C">
      <w:pPr>
        <w:spacing w:after="0" w:line="240" w:lineRule="auto"/>
        <w:rPr>
          <w:rFonts w:ascii="Helvetica" w:hAnsi="Helvetica" w:cs="Helvetica"/>
          <w:sz w:val="20"/>
        </w:rPr>
      </w:pPr>
    </w:p>
    <w:p w14:paraId="00060B8F" w14:textId="56757981" w:rsidR="007D600C" w:rsidRDefault="007D600C" w:rsidP="007D600C">
      <w:pPr>
        <w:spacing w:after="0" w:line="240" w:lineRule="auto"/>
        <w:rPr>
          <w:rFonts w:ascii="Helvetica" w:hAnsi="Helvetica" w:cs="Helvetica"/>
          <w:sz w:val="20"/>
        </w:rPr>
      </w:pPr>
      <w:r>
        <w:rPr>
          <w:rFonts w:ascii="Helvetica" w:hAnsi="Helvetica" w:cs="Helvetica"/>
          <w:sz w:val="20"/>
        </w:rPr>
        <w:t xml:space="preserve">De la même manière, la bibliothèque s’affiche également en tête de liste sous la facette Bibliothèque, lorsque vous faites une recherche de type « Exemplaires physiques ». </w:t>
      </w:r>
    </w:p>
    <w:p w14:paraId="535615DE" w14:textId="0751614D" w:rsidR="007D600C" w:rsidRDefault="007D600C" w:rsidP="007D600C">
      <w:pPr>
        <w:spacing w:after="0" w:line="240" w:lineRule="auto"/>
        <w:rPr>
          <w:rFonts w:ascii="Helvetica" w:hAnsi="Helvetica" w:cs="Helvetica"/>
          <w:sz w:val="20"/>
        </w:rPr>
      </w:pPr>
      <w:r w:rsidRPr="003A4887">
        <w:rPr>
          <w:noProof/>
          <w:lang w:eastAsia="fr-FR"/>
        </w:rPr>
        <w:drawing>
          <wp:inline distT="0" distB="0" distL="0" distR="0" wp14:anchorId="580E74FA" wp14:editId="4CB0B14D">
            <wp:extent cx="5760720" cy="2590838"/>
            <wp:effectExtent l="19050" t="19050" r="11430" b="190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590838"/>
                    </a:xfrm>
                    <a:prstGeom prst="rect">
                      <a:avLst/>
                    </a:prstGeom>
                    <a:ln>
                      <a:solidFill>
                        <a:srgbClr val="0070C0"/>
                      </a:solidFill>
                    </a:ln>
                  </pic:spPr>
                </pic:pic>
              </a:graphicData>
            </a:graphic>
          </wp:inline>
        </w:drawing>
      </w:r>
    </w:p>
    <w:p w14:paraId="1EDEC06F" w14:textId="7B72708F" w:rsidR="007D600C" w:rsidRDefault="007D600C" w:rsidP="007D600C">
      <w:pPr>
        <w:spacing w:after="0" w:line="240" w:lineRule="auto"/>
        <w:rPr>
          <w:rFonts w:ascii="Helvetica" w:hAnsi="Helvetica" w:cs="Helvetica"/>
          <w:sz w:val="20"/>
        </w:rPr>
      </w:pPr>
    </w:p>
    <w:p w14:paraId="70550CB1" w14:textId="77777777" w:rsidR="007D600C" w:rsidRDefault="007D600C" w:rsidP="007D600C">
      <w:pPr>
        <w:spacing w:after="0" w:line="240" w:lineRule="auto"/>
        <w:rPr>
          <w:rFonts w:ascii="Helvetica" w:hAnsi="Helvetica" w:cs="Helvetica"/>
          <w:sz w:val="20"/>
        </w:rPr>
      </w:pPr>
    </w:p>
    <w:p w14:paraId="2749C17E" w14:textId="2AB424CB" w:rsidR="00D076FD" w:rsidRDefault="00D076FD" w:rsidP="00481E05">
      <w:pPr>
        <w:shd w:val="clear" w:color="auto" w:fill="FFFFFF"/>
        <w:jc w:val="both"/>
        <w:rPr>
          <w:rFonts w:ascii="Helvetica" w:eastAsia="Times New Roman" w:hAnsi="Helvetica" w:cs="Helvetica"/>
          <w:color w:val="000000"/>
          <w:sz w:val="20"/>
          <w:szCs w:val="20"/>
          <w:lang w:eastAsia="fr-FR"/>
        </w:rPr>
      </w:pPr>
    </w:p>
    <w:p w14:paraId="5FE63EA1" w14:textId="77777777" w:rsidR="007D600C" w:rsidRDefault="007D600C">
      <w:pPr>
        <w:rPr>
          <w:rFonts w:eastAsiaTheme="majorEastAsia" w:cstheme="majorBidi"/>
          <w:sz w:val="40"/>
          <w:szCs w:val="32"/>
        </w:rPr>
      </w:pPr>
      <w:r>
        <w:rPr>
          <w:rFonts w:eastAsiaTheme="majorEastAsia" w:cstheme="majorBidi"/>
          <w:sz w:val="40"/>
          <w:szCs w:val="32"/>
        </w:rPr>
        <w:br w:type="page"/>
      </w:r>
    </w:p>
    <w:p w14:paraId="67991657" w14:textId="38924ECF" w:rsidR="008B57F0" w:rsidRPr="00E85728" w:rsidRDefault="008B57F0" w:rsidP="008B57F0">
      <w:pPr>
        <w:keepNext/>
        <w:keepLines/>
        <w:spacing w:before="240" w:after="0"/>
        <w:jc w:val="both"/>
        <w:outlineLvl w:val="0"/>
        <w:rPr>
          <w:rFonts w:eastAsiaTheme="majorEastAsia" w:cstheme="majorBidi"/>
          <w:sz w:val="40"/>
          <w:szCs w:val="32"/>
        </w:rPr>
      </w:pPr>
      <w:r>
        <w:rPr>
          <w:rFonts w:eastAsiaTheme="majorEastAsia" w:cstheme="majorBidi"/>
          <w:sz w:val="40"/>
          <w:szCs w:val="32"/>
        </w:rPr>
        <w:lastRenderedPageBreak/>
        <w:t>Ressources électroniques</w:t>
      </w:r>
    </w:p>
    <w:p w14:paraId="4362ABFE" w14:textId="77777777" w:rsidR="007D600C" w:rsidRDefault="007D600C" w:rsidP="007459FB">
      <w:pPr>
        <w:jc w:val="both"/>
        <w:rPr>
          <w:sz w:val="32"/>
          <w:szCs w:val="32"/>
        </w:rPr>
      </w:pPr>
      <w:r w:rsidRPr="007D600C">
        <w:rPr>
          <w:sz w:val="32"/>
          <w:szCs w:val="32"/>
        </w:rPr>
        <w:t>Définir un délai spécifique pour la récolte manuelle des données SUSHI R5</w:t>
      </w:r>
    </w:p>
    <w:p w14:paraId="2509DF00" w14:textId="528EB8C3" w:rsidR="007459FB" w:rsidRDefault="007D600C" w:rsidP="007459FB">
      <w:pPr>
        <w:jc w:val="both"/>
        <w:rPr>
          <w:rFonts w:ascii="Helvetica" w:hAnsi="Helvetica" w:cs="Helvetica"/>
          <w:sz w:val="20"/>
          <w:szCs w:val="20"/>
        </w:rPr>
      </w:pPr>
      <w:r w:rsidRPr="007D600C">
        <w:rPr>
          <w:rFonts w:ascii="Helvetica" w:hAnsi="Helvetica" w:cs="Helvetica"/>
          <w:sz w:val="20"/>
          <w:szCs w:val="20"/>
        </w:rPr>
        <w:t xml:space="preserve">Dans Alma, une nouvelle option permet aux utilisateurs de définir une période spécifique lors de la récolte manuelle des données SUSHI. Cette option n'est disponible que pour les comptes SUSHI version 5. </w:t>
      </w:r>
      <w:r w:rsidRPr="007D600C">
        <w:rPr>
          <w:rFonts w:ascii="Helvetica" w:hAnsi="Helvetica" w:cs="Helvetica"/>
          <w:sz w:val="20"/>
          <w:szCs w:val="20"/>
        </w:rPr>
        <w:br/>
        <w:t>La</w:t>
      </w:r>
      <w:r w:rsidR="007459FB">
        <w:rPr>
          <w:rFonts w:ascii="Helvetica" w:hAnsi="Helvetica" w:cs="Helvetica"/>
          <w:sz w:val="20"/>
          <w:szCs w:val="20"/>
        </w:rPr>
        <w:t xml:space="preserve"> fonction déjà existante « </w:t>
      </w:r>
      <w:r w:rsidRPr="007D600C">
        <w:rPr>
          <w:rFonts w:ascii="Helvetica" w:hAnsi="Helvetica" w:cs="Helvetica"/>
          <w:sz w:val="20"/>
          <w:szCs w:val="20"/>
        </w:rPr>
        <w:t>Récolter maintenant</w:t>
      </w:r>
      <w:r w:rsidR="007459FB">
        <w:rPr>
          <w:rFonts w:ascii="Helvetica" w:hAnsi="Helvetica" w:cs="Helvetica"/>
          <w:sz w:val="20"/>
          <w:szCs w:val="20"/>
        </w:rPr>
        <w:t> »</w:t>
      </w:r>
      <w:r w:rsidRPr="007D600C">
        <w:rPr>
          <w:rFonts w:ascii="Helvetica" w:hAnsi="Helvetica" w:cs="Helvetica"/>
          <w:sz w:val="20"/>
          <w:szCs w:val="20"/>
        </w:rPr>
        <w:t xml:space="preserve"> est maintenue et permet de récolter l'utilisation des 12 derniers mois, tandis que la n</w:t>
      </w:r>
      <w:r w:rsidR="007459FB">
        <w:rPr>
          <w:rFonts w:ascii="Helvetica" w:hAnsi="Helvetica" w:cs="Helvetica"/>
          <w:sz w:val="20"/>
          <w:szCs w:val="20"/>
        </w:rPr>
        <w:t>ouvelle fonction « </w:t>
      </w:r>
      <w:r w:rsidRPr="007D600C">
        <w:rPr>
          <w:rFonts w:ascii="Helvetica" w:hAnsi="Helvetica" w:cs="Helvetica"/>
          <w:sz w:val="20"/>
          <w:szCs w:val="20"/>
        </w:rPr>
        <w:t>collecte personnalisée</w:t>
      </w:r>
      <w:r w:rsidR="007459FB">
        <w:rPr>
          <w:rFonts w:ascii="Helvetica" w:hAnsi="Helvetica" w:cs="Helvetica"/>
          <w:sz w:val="20"/>
          <w:szCs w:val="20"/>
        </w:rPr>
        <w:t xml:space="preserve"> » </w:t>
      </w:r>
      <w:r w:rsidRPr="007D600C">
        <w:rPr>
          <w:rFonts w:ascii="Helvetica" w:hAnsi="Helvetica" w:cs="Helvetica"/>
          <w:sz w:val="20"/>
          <w:szCs w:val="20"/>
        </w:rPr>
        <w:t>offre la possibilité de définir la période exacte de la récolte</w:t>
      </w:r>
      <w:r w:rsidR="007459FB">
        <w:rPr>
          <w:rFonts w:ascii="Helvetica" w:hAnsi="Helvetica" w:cs="Helvetica"/>
          <w:sz w:val="20"/>
          <w:szCs w:val="20"/>
        </w:rPr>
        <w:t>.</w:t>
      </w:r>
    </w:p>
    <w:p w14:paraId="3A72FC7A" w14:textId="12667262" w:rsidR="007D600C" w:rsidRPr="007D600C" w:rsidRDefault="007459FB" w:rsidP="007459FB">
      <w:pPr>
        <w:jc w:val="both"/>
        <w:rPr>
          <w:rFonts w:ascii="Helvetica" w:hAnsi="Helvetica" w:cs="Helvetica"/>
          <w:sz w:val="20"/>
          <w:szCs w:val="20"/>
        </w:rPr>
      </w:pPr>
      <w:r>
        <w:rPr>
          <w:rFonts w:ascii="Helvetica" w:hAnsi="Helvetica" w:cs="Helvetica"/>
          <w:sz w:val="20"/>
          <w:szCs w:val="20"/>
        </w:rPr>
        <w:t>« </w:t>
      </w:r>
      <w:r w:rsidR="007D600C" w:rsidRPr="007D600C">
        <w:rPr>
          <w:rFonts w:ascii="Helvetica" w:hAnsi="Helvetica" w:cs="Helvetica"/>
          <w:sz w:val="20"/>
          <w:szCs w:val="20"/>
        </w:rPr>
        <w:t>Collecte personnalisée</w:t>
      </w:r>
      <w:r>
        <w:rPr>
          <w:rFonts w:ascii="Helvetica" w:hAnsi="Helvetica" w:cs="Helvetica"/>
          <w:sz w:val="20"/>
          <w:szCs w:val="20"/>
        </w:rPr>
        <w:t> »</w:t>
      </w:r>
      <w:r w:rsidR="007D600C" w:rsidRPr="007D600C">
        <w:rPr>
          <w:rFonts w:ascii="Helvetica" w:hAnsi="Helvetica" w:cs="Helvetica"/>
          <w:sz w:val="20"/>
          <w:szCs w:val="20"/>
        </w:rPr>
        <w:t xml:space="preserve"> peut être exécutée sur l'ensemble du compte SUSHI ou sur un rapport spécifique du compte. Les utilisateurs peuvent définir plusieurs périodes de récolte.</w:t>
      </w:r>
    </w:p>
    <w:p w14:paraId="684C9A4D" w14:textId="77777777" w:rsidR="007D600C" w:rsidRPr="007D600C" w:rsidRDefault="007D600C" w:rsidP="007D600C">
      <w:pPr>
        <w:rPr>
          <w:rFonts w:ascii="Helvetica" w:hAnsi="Helvetica" w:cs="Helvetica"/>
          <w:sz w:val="20"/>
          <w:szCs w:val="20"/>
        </w:rPr>
      </w:pPr>
    </w:p>
    <w:p w14:paraId="5DC86ED6" w14:textId="77777777" w:rsidR="007D600C" w:rsidRPr="007D600C" w:rsidRDefault="007D600C" w:rsidP="007D600C">
      <w:pPr>
        <w:rPr>
          <w:rFonts w:ascii="Helvetica" w:hAnsi="Helvetica" w:cs="Helvetica"/>
          <w:sz w:val="20"/>
          <w:szCs w:val="20"/>
        </w:rPr>
      </w:pPr>
      <w:r w:rsidRPr="007D600C">
        <w:rPr>
          <w:rFonts w:ascii="Helvetica" w:hAnsi="Helvetica" w:cs="Helvetica"/>
          <w:sz w:val="20"/>
          <w:szCs w:val="20"/>
        </w:rPr>
        <w:drawing>
          <wp:inline distT="0" distB="0" distL="0" distR="0" wp14:anchorId="677BAEEF" wp14:editId="0EF2F007">
            <wp:extent cx="5760720" cy="21805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180590"/>
                    </a:xfrm>
                    <a:prstGeom prst="rect">
                      <a:avLst/>
                    </a:prstGeom>
                  </pic:spPr>
                </pic:pic>
              </a:graphicData>
            </a:graphic>
          </wp:inline>
        </w:drawing>
      </w:r>
    </w:p>
    <w:p w14:paraId="6D50F309" w14:textId="77777777" w:rsidR="007D600C" w:rsidRPr="007D600C" w:rsidRDefault="007D600C" w:rsidP="007D600C">
      <w:pPr>
        <w:rPr>
          <w:rFonts w:ascii="Helvetica" w:hAnsi="Helvetica" w:cs="Helvetica"/>
          <w:sz w:val="20"/>
          <w:szCs w:val="20"/>
        </w:rPr>
      </w:pPr>
    </w:p>
    <w:p w14:paraId="5588A4AB" w14:textId="77777777" w:rsidR="007D600C" w:rsidRPr="007D600C" w:rsidRDefault="007D600C" w:rsidP="007D600C">
      <w:pPr>
        <w:rPr>
          <w:rFonts w:ascii="Helvetica" w:hAnsi="Helvetica" w:cs="Helvetica"/>
          <w:sz w:val="20"/>
          <w:szCs w:val="20"/>
        </w:rPr>
      </w:pPr>
      <w:r w:rsidRPr="007D600C">
        <w:rPr>
          <w:rFonts w:ascii="Helvetica" w:hAnsi="Helvetica" w:cs="Helvetica"/>
          <w:sz w:val="20"/>
          <w:szCs w:val="20"/>
        </w:rPr>
        <w:drawing>
          <wp:inline distT="0" distB="0" distL="0" distR="0" wp14:anchorId="18EEF0EC" wp14:editId="219D3FF0">
            <wp:extent cx="5760720" cy="23323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332355"/>
                    </a:xfrm>
                    <a:prstGeom prst="rect">
                      <a:avLst/>
                    </a:prstGeom>
                  </pic:spPr>
                </pic:pic>
              </a:graphicData>
            </a:graphic>
          </wp:inline>
        </w:drawing>
      </w:r>
    </w:p>
    <w:p w14:paraId="76220C75" w14:textId="77777777" w:rsidR="007D600C" w:rsidRPr="007D600C" w:rsidRDefault="007D600C" w:rsidP="007D600C">
      <w:pPr>
        <w:rPr>
          <w:rFonts w:ascii="Helvetica" w:hAnsi="Helvetica" w:cs="Helvetica"/>
          <w:sz w:val="20"/>
          <w:szCs w:val="20"/>
        </w:rPr>
      </w:pPr>
    </w:p>
    <w:p w14:paraId="1344EAA1" w14:textId="77777777" w:rsidR="007D600C" w:rsidRPr="007D600C" w:rsidRDefault="007D600C" w:rsidP="007D600C">
      <w:pPr>
        <w:rPr>
          <w:rFonts w:ascii="Helvetica" w:hAnsi="Helvetica" w:cs="Helvetica"/>
          <w:sz w:val="20"/>
          <w:szCs w:val="20"/>
        </w:rPr>
      </w:pPr>
    </w:p>
    <w:p w14:paraId="55E9DB5C" w14:textId="77777777" w:rsidR="007D600C" w:rsidRPr="007D600C" w:rsidRDefault="007D600C" w:rsidP="007D600C">
      <w:pPr>
        <w:rPr>
          <w:rFonts w:ascii="Helvetica" w:hAnsi="Helvetica" w:cs="Helvetica"/>
          <w:sz w:val="20"/>
          <w:szCs w:val="20"/>
        </w:rPr>
      </w:pPr>
      <w:r w:rsidRPr="007D600C">
        <w:rPr>
          <w:rFonts w:ascii="Helvetica" w:hAnsi="Helvetica" w:cs="Helvetica"/>
          <w:sz w:val="20"/>
          <w:szCs w:val="20"/>
        </w:rPr>
        <w:lastRenderedPageBreak/>
        <w:drawing>
          <wp:inline distT="0" distB="0" distL="0" distR="0" wp14:anchorId="28AAA87D" wp14:editId="360E9622">
            <wp:extent cx="5760720" cy="18764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876425"/>
                    </a:xfrm>
                    <a:prstGeom prst="rect">
                      <a:avLst/>
                    </a:prstGeom>
                  </pic:spPr>
                </pic:pic>
              </a:graphicData>
            </a:graphic>
          </wp:inline>
        </w:drawing>
      </w:r>
    </w:p>
    <w:p w14:paraId="07912D18" w14:textId="77777777" w:rsidR="007D600C" w:rsidRPr="007D600C" w:rsidRDefault="007D600C" w:rsidP="007D600C">
      <w:pPr>
        <w:rPr>
          <w:rFonts w:ascii="Helvetica" w:hAnsi="Helvetica" w:cs="Helvetica"/>
          <w:sz w:val="20"/>
          <w:szCs w:val="20"/>
        </w:rPr>
      </w:pPr>
    </w:p>
    <w:p w14:paraId="651EA8F3" w14:textId="57E9649C" w:rsidR="002E7185" w:rsidRDefault="002E7185" w:rsidP="007D600C">
      <w:pPr>
        <w:rPr>
          <w:rFonts w:ascii="Helvetica" w:eastAsia="Times New Roman" w:hAnsi="Helvetica" w:cs="Helvetica"/>
          <w:color w:val="000000"/>
          <w:sz w:val="20"/>
          <w:szCs w:val="20"/>
          <w:lang w:eastAsia="fr-FR"/>
        </w:rPr>
      </w:pPr>
    </w:p>
    <w:p w14:paraId="2FC5A43E" w14:textId="625DD980" w:rsidR="007459FB" w:rsidRDefault="007459FB" w:rsidP="007D600C">
      <w:pPr>
        <w:rPr>
          <w:rFonts w:ascii="Helvetica" w:eastAsia="Times New Roman" w:hAnsi="Helvetica" w:cs="Helvetica"/>
          <w:color w:val="000000"/>
          <w:sz w:val="20"/>
          <w:szCs w:val="20"/>
          <w:lang w:eastAsia="fr-FR"/>
        </w:rPr>
      </w:pPr>
    </w:p>
    <w:p w14:paraId="635798E2" w14:textId="557CD2BE" w:rsidR="007459FB" w:rsidRDefault="007459FB" w:rsidP="007459FB">
      <w:pPr>
        <w:jc w:val="both"/>
        <w:rPr>
          <w:sz w:val="32"/>
          <w:szCs w:val="32"/>
        </w:rPr>
      </w:pPr>
      <w:r>
        <w:rPr>
          <w:sz w:val="32"/>
          <w:szCs w:val="32"/>
        </w:rPr>
        <w:t xml:space="preserve">Le résolveur de liens d’Alma et les </w:t>
      </w:r>
      <w:proofErr w:type="spellStart"/>
      <w:r>
        <w:rPr>
          <w:sz w:val="32"/>
          <w:szCs w:val="32"/>
        </w:rPr>
        <w:t>OpenURL</w:t>
      </w:r>
      <w:proofErr w:type="spellEnd"/>
      <w:r>
        <w:rPr>
          <w:sz w:val="32"/>
          <w:szCs w:val="32"/>
        </w:rPr>
        <w:t xml:space="preserve"> de CDI aux ISBN multiples </w:t>
      </w:r>
    </w:p>
    <w:p w14:paraId="7F9AEFE2" w14:textId="062C7612" w:rsidR="007459FB" w:rsidRDefault="007459FB" w:rsidP="007459FB">
      <w:pP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L</w:t>
      </w:r>
      <w:r w:rsidRPr="007459FB">
        <w:rPr>
          <w:rFonts w:ascii="Helvetica" w:eastAsia="Times New Roman" w:hAnsi="Helvetica" w:cs="Helvetica"/>
          <w:color w:val="000000"/>
          <w:sz w:val="20"/>
          <w:szCs w:val="20"/>
          <w:lang w:eastAsia="fr-FR"/>
        </w:rPr>
        <w:t xml:space="preserve">es </w:t>
      </w:r>
      <w:proofErr w:type="spellStart"/>
      <w:r w:rsidRPr="007459FB">
        <w:rPr>
          <w:rFonts w:ascii="Helvetica" w:eastAsia="Times New Roman" w:hAnsi="Helvetica" w:cs="Helvetica"/>
          <w:color w:val="000000"/>
          <w:sz w:val="20"/>
          <w:szCs w:val="20"/>
          <w:lang w:eastAsia="fr-FR"/>
        </w:rPr>
        <w:t>OpenURL</w:t>
      </w:r>
      <w:proofErr w:type="spellEnd"/>
      <w:r w:rsidRPr="007459FB">
        <w:rPr>
          <w:rFonts w:ascii="Helvetica" w:eastAsia="Times New Roman" w:hAnsi="Helvetica" w:cs="Helvetica"/>
          <w:color w:val="000000"/>
          <w:sz w:val="20"/>
          <w:szCs w:val="20"/>
          <w:lang w:eastAsia="fr-FR"/>
        </w:rPr>
        <w:t xml:space="preserve"> de CDI présentant plusieurs ISBN/</w:t>
      </w:r>
      <w:proofErr w:type="spellStart"/>
      <w:r w:rsidRPr="007459FB">
        <w:rPr>
          <w:rFonts w:ascii="Helvetica" w:eastAsia="Times New Roman" w:hAnsi="Helvetica" w:cs="Helvetica"/>
          <w:color w:val="000000"/>
          <w:sz w:val="20"/>
          <w:szCs w:val="20"/>
          <w:lang w:eastAsia="fr-FR"/>
        </w:rPr>
        <w:t>eISBN</w:t>
      </w:r>
      <w:proofErr w:type="spellEnd"/>
      <w:r w:rsidRPr="007459FB">
        <w:rPr>
          <w:rFonts w:ascii="Helvetica" w:eastAsia="Times New Roman" w:hAnsi="Helvetica" w:cs="Helvetica"/>
          <w:color w:val="000000"/>
          <w:sz w:val="20"/>
          <w:szCs w:val="20"/>
          <w:lang w:eastAsia="fr-FR"/>
        </w:rPr>
        <w:t xml:space="preserve"> seront gérées par le résolveur de lien Alma qui utilisera ces ISBN et </w:t>
      </w:r>
      <w:proofErr w:type="spellStart"/>
      <w:r w:rsidRPr="007459FB">
        <w:rPr>
          <w:rFonts w:ascii="Helvetica" w:eastAsia="Times New Roman" w:hAnsi="Helvetica" w:cs="Helvetica"/>
          <w:color w:val="000000"/>
          <w:sz w:val="20"/>
          <w:szCs w:val="20"/>
          <w:lang w:eastAsia="fr-FR"/>
        </w:rPr>
        <w:t>eISBN</w:t>
      </w:r>
      <w:proofErr w:type="spellEnd"/>
      <w:r w:rsidRPr="007459FB">
        <w:rPr>
          <w:rFonts w:ascii="Helvetica" w:eastAsia="Times New Roman" w:hAnsi="Helvetica" w:cs="Helvetica"/>
          <w:color w:val="000000"/>
          <w:sz w:val="20"/>
          <w:szCs w:val="20"/>
          <w:lang w:eastAsia="fr-FR"/>
        </w:rPr>
        <w:t xml:space="preserve"> pour faire correspondre les notices bibliographiques et renvoyer tous les services électroniques pertinents.</w:t>
      </w:r>
    </w:p>
    <w:p w14:paraId="72BA39E6" w14:textId="77777777" w:rsidR="0085085A" w:rsidRPr="007459FB" w:rsidRDefault="0085085A" w:rsidP="007459FB">
      <w:pPr>
        <w:rPr>
          <w:rFonts w:ascii="Helvetica" w:eastAsia="Times New Roman" w:hAnsi="Helvetica" w:cs="Helvetica"/>
          <w:color w:val="000000"/>
          <w:sz w:val="20"/>
          <w:szCs w:val="20"/>
          <w:lang w:eastAsia="fr-FR"/>
        </w:rPr>
      </w:pPr>
    </w:p>
    <w:p w14:paraId="456DF9F6" w14:textId="60C0C808" w:rsidR="0085085A" w:rsidRDefault="0085085A">
      <w:pPr>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br w:type="page"/>
      </w:r>
    </w:p>
    <w:p w14:paraId="517D4DFB" w14:textId="65B273FA" w:rsidR="00CD0C9B" w:rsidRDefault="00CD0C9B" w:rsidP="00CD0C9B">
      <w:pPr>
        <w:jc w:val="both"/>
        <w:rPr>
          <w:sz w:val="40"/>
        </w:rPr>
      </w:pPr>
      <w:r>
        <w:rPr>
          <w:sz w:val="40"/>
        </w:rPr>
        <w:lastRenderedPageBreak/>
        <w:t>Statistiques</w:t>
      </w:r>
      <w:r>
        <w:rPr>
          <w:sz w:val="40"/>
        </w:rPr>
        <w:t xml:space="preserve"> </w:t>
      </w:r>
    </w:p>
    <w:p w14:paraId="0A181F88" w14:textId="69183AE5" w:rsidR="00796054" w:rsidRDefault="00796054" w:rsidP="00796054">
      <w:pPr>
        <w:jc w:val="both"/>
        <w:rPr>
          <w:sz w:val="40"/>
        </w:rPr>
      </w:pPr>
      <w:r>
        <w:rPr>
          <w:sz w:val="32"/>
          <w:szCs w:val="32"/>
        </w:rPr>
        <w:t>Export de données</w:t>
      </w:r>
    </w:p>
    <w:p w14:paraId="5EC6D171" w14:textId="09A44FB3" w:rsidR="007459FB" w:rsidRDefault="00796054" w:rsidP="00796054">
      <w:pPr>
        <w:jc w:val="both"/>
        <w:rPr>
          <w:rFonts w:ascii="Helvetica" w:eastAsia="Times New Roman" w:hAnsi="Helvetica" w:cs="Helvetica"/>
          <w:color w:val="000000"/>
          <w:sz w:val="20"/>
          <w:szCs w:val="20"/>
          <w:lang w:eastAsia="fr-FR"/>
        </w:rPr>
      </w:pPr>
      <w:bookmarkStart w:id="2" w:name="_GoBack"/>
      <w:r>
        <w:rPr>
          <w:rFonts w:ascii="Helvetica" w:eastAsia="Times New Roman" w:hAnsi="Helvetica" w:cs="Helvetica"/>
          <w:color w:val="000000"/>
          <w:sz w:val="20"/>
          <w:szCs w:val="20"/>
          <w:lang w:eastAsia="fr-FR"/>
        </w:rPr>
        <w:t xml:space="preserve">Alma </w:t>
      </w:r>
      <w:proofErr w:type="spellStart"/>
      <w:r>
        <w:rPr>
          <w:rFonts w:ascii="Helvetica" w:eastAsia="Times New Roman" w:hAnsi="Helvetica" w:cs="Helvetica"/>
          <w:color w:val="000000"/>
          <w:sz w:val="20"/>
          <w:szCs w:val="20"/>
          <w:lang w:eastAsia="fr-FR"/>
        </w:rPr>
        <w:t>Analytics</w:t>
      </w:r>
      <w:proofErr w:type="spellEnd"/>
      <w:r>
        <w:rPr>
          <w:rFonts w:ascii="Helvetica" w:eastAsia="Times New Roman" w:hAnsi="Helvetica" w:cs="Helvetica"/>
          <w:color w:val="000000"/>
          <w:sz w:val="20"/>
          <w:szCs w:val="20"/>
          <w:lang w:eastAsia="fr-FR"/>
        </w:rPr>
        <w:t xml:space="preserve"> permettait jusqu’à présent d’exporter des fichiers CSV de 500 000 lignes. Cette limite est désormais portée à 10 000 000 de lignes. L’export au format Excel reste, lui, soumis aux contraintes de limitation propres à ce format. </w:t>
      </w:r>
      <w:bookmarkEnd w:id="2"/>
    </w:p>
    <w:sectPr w:rsidR="007459FB">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1A2F" w14:textId="77777777" w:rsidR="008B23B3" w:rsidRDefault="008B23B3" w:rsidP="0000222F">
      <w:pPr>
        <w:spacing w:after="0" w:line="240" w:lineRule="auto"/>
      </w:pPr>
      <w:r>
        <w:separator/>
      </w:r>
    </w:p>
  </w:endnote>
  <w:endnote w:type="continuationSeparator" w:id="0">
    <w:p w14:paraId="3BB54938" w14:textId="77777777" w:rsidR="008B23B3" w:rsidRDefault="008B23B3"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2D32F00D"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796054">
          <w:rPr>
            <w:rFonts w:ascii="Constantia" w:hAnsi="Constantia"/>
            <w:noProof/>
            <w:sz w:val="24"/>
          </w:rPr>
          <w:t>6</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0F6E" w14:textId="77777777" w:rsidR="008B23B3" w:rsidRDefault="008B23B3" w:rsidP="0000222F">
      <w:pPr>
        <w:spacing w:after="0" w:line="240" w:lineRule="auto"/>
      </w:pPr>
      <w:r>
        <w:separator/>
      </w:r>
    </w:p>
  </w:footnote>
  <w:footnote w:type="continuationSeparator" w:id="0">
    <w:p w14:paraId="266FD6FD" w14:textId="77777777" w:rsidR="008B23B3" w:rsidRDefault="008B23B3"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62E039C6"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D8471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Constantia" w:hAnsi="Constantia"/>
            <w:color w:val="000000" w:themeColor="text1"/>
            <w:sz w:val="20"/>
            <w:szCs w:val="20"/>
          </w:rPr>
          <w:t>Note</w:t>
        </w:r>
        <w:r w:rsidR="003C33C9">
          <w:rPr>
            <w:rFonts w:ascii="Constantia" w:hAnsi="Constantia"/>
            <w:color w:val="000000" w:themeColor="text1"/>
            <w:sz w:val="20"/>
            <w:szCs w:val="20"/>
          </w:rPr>
          <w:t xml:space="preserve"> de version Alma – </w:t>
        </w:r>
        <w:r w:rsidR="00A56652">
          <w:rPr>
            <w:rFonts w:ascii="Constantia" w:hAnsi="Constantia"/>
            <w:color w:val="000000" w:themeColor="text1"/>
            <w:sz w:val="20"/>
            <w:szCs w:val="20"/>
          </w:rPr>
          <w:t>Août</w:t>
        </w:r>
        <w:r w:rsidR="00B929D2">
          <w:rPr>
            <w:rFonts w:ascii="Constantia" w:hAnsi="Constantia"/>
            <w:color w:val="000000" w:themeColor="text1"/>
            <w:sz w:val="20"/>
            <w:szCs w:val="20"/>
          </w:rPr>
          <w:t xml:space="preserve"> 2021</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8"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4275D7"/>
    <w:multiLevelType w:val="hybridMultilevel"/>
    <w:tmpl w:val="B1020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D252C5"/>
    <w:multiLevelType w:val="hybridMultilevel"/>
    <w:tmpl w:val="47EE08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8"/>
  </w:num>
  <w:num w:numId="4">
    <w:abstractNumId w:val="0"/>
  </w:num>
  <w:num w:numId="5">
    <w:abstractNumId w:val="22"/>
  </w:num>
  <w:num w:numId="6">
    <w:abstractNumId w:val="10"/>
  </w:num>
  <w:num w:numId="7">
    <w:abstractNumId w:val="8"/>
  </w:num>
  <w:num w:numId="8">
    <w:abstractNumId w:val="24"/>
  </w:num>
  <w:num w:numId="9">
    <w:abstractNumId w:val="26"/>
  </w:num>
  <w:num w:numId="10">
    <w:abstractNumId w:val="27"/>
  </w:num>
  <w:num w:numId="11">
    <w:abstractNumId w:val="11"/>
  </w:num>
  <w:num w:numId="12">
    <w:abstractNumId w:val="6"/>
  </w:num>
  <w:num w:numId="13">
    <w:abstractNumId w:val="18"/>
  </w:num>
  <w:num w:numId="14">
    <w:abstractNumId w:val="16"/>
  </w:num>
  <w:num w:numId="15">
    <w:abstractNumId w:val="5"/>
  </w:num>
  <w:num w:numId="16">
    <w:abstractNumId w:val="2"/>
  </w:num>
  <w:num w:numId="17">
    <w:abstractNumId w:val="9"/>
  </w:num>
  <w:num w:numId="18">
    <w:abstractNumId w:val="12"/>
  </w:num>
  <w:num w:numId="19">
    <w:abstractNumId w:val="3"/>
  </w:num>
  <w:num w:numId="20">
    <w:abstractNumId w:val="13"/>
  </w:num>
  <w:num w:numId="21">
    <w:abstractNumId w:val="21"/>
  </w:num>
  <w:num w:numId="22">
    <w:abstractNumId w:val="17"/>
  </w:num>
  <w:num w:numId="23">
    <w:abstractNumId w:val="19"/>
  </w:num>
  <w:num w:numId="24">
    <w:abstractNumId w:val="23"/>
  </w:num>
  <w:num w:numId="25">
    <w:abstractNumId w:val="15"/>
  </w:num>
  <w:num w:numId="26">
    <w:abstractNumId w:val="14"/>
  </w:num>
  <w:num w:numId="27">
    <w:abstractNumId w:val="4"/>
  </w:num>
  <w:num w:numId="28">
    <w:abstractNumId w:val="1"/>
  </w:num>
  <w:num w:numId="29">
    <w:abstractNumId w:val="20"/>
  </w:num>
  <w:num w:numId="3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07824"/>
    <w:rsid w:val="00012B9E"/>
    <w:rsid w:val="00014F96"/>
    <w:rsid w:val="00017DB4"/>
    <w:rsid w:val="00024F2F"/>
    <w:rsid w:val="00025E7E"/>
    <w:rsid w:val="000260C2"/>
    <w:rsid w:val="0002716A"/>
    <w:rsid w:val="0003678A"/>
    <w:rsid w:val="00036CBD"/>
    <w:rsid w:val="000401DE"/>
    <w:rsid w:val="00041564"/>
    <w:rsid w:val="000511AD"/>
    <w:rsid w:val="00052D3E"/>
    <w:rsid w:val="00062C53"/>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3190"/>
    <w:rsid w:val="000F613D"/>
    <w:rsid w:val="000F747B"/>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701A0"/>
    <w:rsid w:val="00172A1B"/>
    <w:rsid w:val="00181D92"/>
    <w:rsid w:val="001833FA"/>
    <w:rsid w:val="001868DD"/>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2501"/>
    <w:rsid w:val="00285875"/>
    <w:rsid w:val="0028724A"/>
    <w:rsid w:val="00291304"/>
    <w:rsid w:val="0029509B"/>
    <w:rsid w:val="002A2F7D"/>
    <w:rsid w:val="002A4294"/>
    <w:rsid w:val="002A70D3"/>
    <w:rsid w:val="002A7A9B"/>
    <w:rsid w:val="002C314B"/>
    <w:rsid w:val="002C4D55"/>
    <w:rsid w:val="002D079A"/>
    <w:rsid w:val="002D66E7"/>
    <w:rsid w:val="002D78F0"/>
    <w:rsid w:val="002D7AE5"/>
    <w:rsid w:val="002E4ECD"/>
    <w:rsid w:val="002E7185"/>
    <w:rsid w:val="002F1327"/>
    <w:rsid w:val="002F7152"/>
    <w:rsid w:val="002F7B16"/>
    <w:rsid w:val="0030256E"/>
    <w:rsid w:val="00307E00"/>
    <w:rsid w:val="00311A0C"/>
    <w:rsid w:val="00312B5C"/>
    <w:rsid w:val="00314C37"/>
    <w:rsid w:val="00321A9A"/>
    <w:rsid w:val="003224A7"/>
    <w:rsid w:val="0032429A"/>
    <w:rsid w:val="003251D8"/>
    <w:rsid w:val="00326913"/>
    <w:rsid w:val="003474A7"/>
    <w:rsid w:val="00347DAF"/>
    <w:rsid w:val="0035454E"/>
    <w:rsid w:val="00355D48"/>
    <w:rsid w:val="00361902"/>
    <w:rsid w:val="00364FCC"/>
    <w:rsid w:val="0036628B"/>
    <w:rsid w:val="00384C81"/>
    <w:rsid w:val="00386DFF"/>
    <w:rsid w:val="003979FA"/>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0268C"/>
    <w:rsid w:val="00415DFF"/>
    <w:rsid w:val="004206D0"/>
    <w:rsid w:val="004210AF"/>
    <w:rsid w:val="00421F38"/>
    <w:rsid w:val="00441B1F"/>
    <w:rsid w:val="00443F9F"/>
    <w:rsid w:val="00454796"/>
    <w:rsid w:val="0045601C"/>
    <w:rsid w:val="0045770F"/>
    <w:rsid w:val="0045797F"/>
    <w:rsid w:val="004664C3"/>
    <w:rsid w:val="004673BE"/>
    <w:rsid w:val="004679EA"/>
    <w:rsid w:val="0047260A"/>
    <w:rsid w:val="00474B3A"/>
    <w:rsid w:val="004764E5"/>
    <w:rsid w:val="00481AA2"/>
    <w:rsid w:val="00481E05"/>
    <w:rsid w:val="0048554F"/>
    <w:rsid w:val="00486028"/>
    <w:rsid w:val="00486537"/>
    <w:rsid w:val="004902A6"/>
    <w:rsid w:val="00491A58"/>
    <w:rsid w:val="00491C52"/>
    <w:rsid w:val="00494A30"/>
    <w:rsid w:val="00495EEC"/>
    <w:rsid w:val="004A67C3"/>
    <w:rsid w:val="004A6BC9"/>
    <w:rsid w:val="004A7E19"/>
    <w:rsid w:val="004A7E7A"/>
    <w:rsid w:val="004B003B"/>
    <w:rsid w:val="004B1A3A"/>
    <w:rsid w:val="004B5E2C"/>
    <w:rsid w:val="004D0282"/>
    <w:rsid w:val="004E50F5"/>
    <w:rsid w:val="004E6CAC"/>
    <w:rsid w:val="005007A3"/>
    <w:rsid w:val="005214E6"/>
    <w:rsid w:val="00524A5D"/>
    <w:rsid w:val="00535A67"/>
    <w:rsid w:val="005370F4"/>
    <w:rsid w:val="0054008B"/>
    <w:rsid w:val="00540F8B"/>
    <w:rsid w:val="00541138"/>
    <w:rsid w:val="00550E1E"/>
    <w:rsid w:val="0055368B"/>
    <w:rsid w:val="00554029"/>
    <w:rsid w:val="00554259"/>
    <w:rsid w:val="005549C4"/>
    <w:rsid w:val="005656F2"/>
    <w:rsid w:val="005677A0"/>
    <w:rsid w:val="005772B3"/>
    <w:rsid w:val="00583BDD"/>
    <w:rsid w:val="00585D27"/>
    <w:rsid w:val="00597121"/>
    <w:rsid w:val="005A408F"/>
    <w:rsid w:val="005A4119"/>
    <w:rsid w:val="005A6CA4"/>
    <w:rsid w:val="005B21A1"/>
    <w:rsid w:val="005B6944"/>
    <w:rsid w:val="005B6C9E"/>
    <w:rsid w:val="005C0361"/>
    <w:rsid w:val="005C2C1F"/>
    <w:rsid w:val="005D2440"/>
    <w:rsid w:val="005D3BFC"/>
    <w:rsid w:val="005D75FA"/>
    <w:rsid w:val="005E08E8"/>
    <w:rsid w:val="005E4B7B"/>
    <w:rsid w:val="005E6A4B"/>
    <w:rsid w:val="005E6DCD"/>
    <w:rsid w:val="005F0434"/>
    <w:rsid w:val="005F052D"/>
    <w:rsid w:val="006148A9"/>
    <w:rsid w:val="006363E2"/>
    <w:rsid w:val="00636AA3"/>
    <w:rsid w:val="00636B65"/>
    <w:rsid w:val="00640F75"/>
    <w:rsid w:val="00657179"/>
    <w:rsid w:val="0068052A"/>
    <w:rsid w:val="00681DFC"/>
    <w:rsid w:val="00682C02"/>
    <w:rsid w:val="0068354E"/>
    <w:rsid w:val="00690699"/>
    <w:rsid w:val="00695161"/>
    <w:rsid w:val="00695988"/>
    <w:rsid w:val="006A13D4"/>
    <w:rsid w:val="006B38F8"/>
    <w:rsid w:val="006B3C74"/>
    <w:rsid w:val="006B5EA7"/>
    <w:rsid w:val="006B7860"/>
    <w:rsid w:val="006C1C8C"/>
    <w:rsid w:val="006C3D7A"/>
    <w:rsid w:val="006C519D"/>
    <w:rsid w:val="006C5B78"/>
    <w:rsid w:val="006D416A"/>
    <w:rsid w:val="006E5ED7"/>
    <w:rsid w:val="006E6104"/>
    <w:rsid w:val="006F79D3"/>
    <w:rsid w:val="00703D19"/>
    <w:rsid w:val="00707575"/>
    <w:rsid w:val="00717C65"/>
    <w:rsid w:val="00721FB1"/>
    <w:rsid w:val="00722E33"/>
    <w:rsid w:val="007263D7"/>
    <w:rsid w:val="00732813"/>
    <w:rsid w:val="00735E5C"/>
    <w:rsid w:val="00735F64"/>
    <w:rsid w:val="00737F51"/>
    <w:rsid w:val="007423BA"/>
    <w:rsid w:val="00744D74"/>
    <w:rsid w:val="00745935"/>
    <w:rsid w:val="007459FB"/>
    <w:rsid w:val="00754F77"/>
    <w:rsid w:val="00761709"/>
    <w:rsid w:val="00763E4A"/>
    <w:rsid w:val="0076624E"/>
    <w:rsid w:val="00775133"/>
    <w:rsid w:val="00784A00"/>
    <w:rsid w:val="00791893"/>
    <w:rsid w:val="00796054"/>
    <w:rsid w:val="007A586E"/>
    <w:rsid w:val="007A5C14"/>
    <w:rsid w:val="007B37AE"/>
    <w:rsid w:val="007B4945"/>
    <w:rsid w:val="007C474D"/>
    <w:rsid w:val="007D600C"/>
    <w:rsid w:val="007E08ED"/>
    <w:rsid w:val="007E723C"/>
    <w:rsid w:val="007F1B48"/>
    <w:rsid w:val="00802C71"/>
    <w:rsid w:val="00805200"/>
    <w:rsid w:val="008069AF"/>
    <w:rsid w:val="008071FD"/>
    <w:rsid w:val="00811BC1"/>
    <w:rsid w:val="00813BFE"/>
    <w:rsid w:val="00817E7F"/>
    <w:rsid w:val="00821296"/>
    <w:rsid w:val="0082353A"/>
    <w:rsid w:val="008275DC"/>
    <w:rsid w:val="00830066"/>
    <w:rsid w:val="0083132C"/>
    <w:rsid w:val="008358D1"/>
    <w:rsid w:val="00837E79"/>
    <w:rsid w:val="00845B33"/>
    <w:rsid w:val="0085085A"/>
    <w:rsid w:val="00854DA3"/>
    <w:rsid w:val="00860D89"/>
    <w:rsid w:val="00861AD0"/>
    <w:rsid w:val="008626E3"/>
    <w:rsid w:val="00863139"/>
    <w:rsid w:val="00863DDD"/>
    <w:rsid w:val="00872C10"/>
    <w:rsid w:val="008802FB"/>
    <w:rsid w:val="00882C2D"/>
    <w:rsid w:val="00886422"/>
    <w:rsid w:val="00892E14"/>
    <w:rsid w:val="00894A43"/>
    <w:rsid w:val="008A04F6"/>
    <w:rsid w:val="008B20F5"/>
    <w:rsid w:val="008B2251"/>
    <w:rsid w:val="008B23B3"/>
    <w:rsid w:val="008B4BE1"/>
    <w:rsid w:val="008B57F0"/>
    <w:rsid w:val="008B5D6E"/>
    <w:rsid w:val="008B60B1"/>
    <w:rsid w:val="008B6CE6"/>
    <w:rsid w:val="008C3035"/>
    <w:rsid w:val="008C63D9"/>
    <w:rsid w:val="008C7E93"/>
    <w:rsid w:val="008D0B16"/>
    <w:rsid w:val="008D5E7F"/>
    <w:rsid w:val="008D669B"/>
    <w:rsid w:val="008D6E84"/>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1432"/>
    <w:rsid w:val="00976C63"/>
    <w:rsid w:val="00984A2A"/>
    <w:rsid w:val="009868D5"/>
    <w:rsid w:val="0099021A"/>
    <w:rsid w:val="009922B4"/>
    <w:rsid w:val="00993E0B"/>
    <w:rsid w:val="009946DD"/>
    <w:rsid w:val="009957B3"/>
    <w:rsid w:val="00997C68"/>
    <w:rsid w:val="009A43EE"/>
    <w:rsid w:val="009B26B5"/>
    <w:rsid w:val="009C0F47"/>
    <w:rsid w:val="009C1D33"/>
    <w:rsid w:val="009C2364"/>
    <w:rsid w:val="009C7D38"/>
    <w:rsid w:val="009D1495"/>
    <w:rsid w:val="009D56DD"/>
    <w:rsid w:val="009D7D87"/>
    <w:rsid w:val="009F5B3F"/>
    <w:rsid w:val="009F7DE1"/>
    <w:rsid w:val="00A000A4"/>
    <w:rsid w:val="00A032F5"/>
    <w:rsid w:val="00A16404"/>
    <w:rsid w:val="00A20C95"/>
    <w:rsid w:val="00A2599D"/>
    <w:rsid w:val="00A30750"/>
    <w:rsid w:val="00A331DC"/>
    <w:rsid w:val="00A37F67"/>
    <w:rsid w:val="00A432A7"/>
    <w:rsid w:val="00A51303"/>
    <w:rsid w:val="00A56652"/>
    <w:rsid w:val="00A616A7"/>
    <w:rsid w:val="00A624BB"/>
    <w:rsid w:val="00A75AC2"/>
    <w:rsid w:val="00A77C5E"/>
    <w:rsid w:val="00A830B5"/>
    <w:rsid w:val="00A9096E"/>
    <w:rsid w:val="00A97418"/>
    <w:rsid w:val="00AA074E"/>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71D9"/>
    <w:rsid w:val="00B433E8"/>
    <w:rsid w:val="00B43534"/>
    <w:rsid w:val="00B45BD6"/>
    <w:rsid w:val="00B60CFB"/>
    <w:rsid w:val="00B62FD4"/>
    <w:rsid w:val="00B65A84"/>
    <w:rsid w:val="00B65AA3"/>
    <w:rsid w:val="00B7042F"/>
    <w:rsid w:val="00B733AC"/>
    <w:rsid w:val="00B7686F"/>
    <w:rsid w:val="00B9082F"/>
    <w:rsid w:val="00B918BB"/>
    <w:rsid w:val="00B929D2"/>
    <w:rsid w:val="00B9329E"/>
    <w:rsid w:val="00B94B7E"/>
    <w:rsid w:val="00BB4679"/>
    <w:rsid w:val="00BC0A6A"/>
    <w:rsid w:val="00BD096F"/>
    <w:rsid w:val="00BD2AA4"/>
    <w:rsid w:val="00BD4AD5"/>
    <w:rsid w:val="00BD53C0"/>
    <w:rsid w:val="00BE5B2D"/>
    <w:rsid w:val="00BF425D"/>
    <w:rsid w:val="00BF4759"/>
    <w:rsid w:val="00BF5A00"/>
    <w:rsid w:val="00BF7868"/>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361"/>
    <w:rsid w:val="00C84664"/>
    <w:rsid w:val="00C904AA"/>
    <w:rsid w:val="00C96FF6"/>
    <w:rsid w:val="00CA085C"/>
    <w:rsid w:val="00CA11BD"/>
    <w:rsid w:val="00CA19C1"/>
    <w:rsid w:val="00CB1A01"/>
    <w:rsid w:val="00CB5465"/>
    <w:rsid w:val="00CB7EB4"/>
    <w:rsid w:val="00CC11CF"/>
    <w:rsid w:val="00CD0C9B"/>
    <w:rsid w:val="00CD1F44"/>
    <w:rsid w:val="00CE1D11"/>
    <w:rsid w:val="00CF1D7F"/>
    <w:rsid w:val="00CF2C88"/>
    <w:rsid w:val="00D015CD"/>
    <w:rsid w:val="00D03220"/>
    <w:rsid w:val="00D076FD"/>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531E"/>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43641"/>
    <w:rsid w:val="00E53580"/>
    <w:rsid w:val="00E538CA"/>
    <w:rsid w:val="00E5653F"/>
    <w:rsid w:val="00E60315"/>
    <w:rsid w:val="00E628A3"/>
    <w:rsid w:val="00E73552"/>
    <w:rsid w:val="00E73D26"/>
    <w:rsid w:val="00E76823"/>
    <w:rsid w:val="00E8143C"/>
    <w:rsid w:val="00E93246"/>
    <w:rsid w:val="00E93B8F"/>
    <w:rsid w:val="00EA6047"/>
    <w:rsid w:val="00EA6656"/>
    <w:rsid w:val="00EA7543"/>
    <w:rsid w:val="00EB032C"/>
    <w:rsid w:val="00EB1500"/>
    <w:rsid w:val="00EB4876"/>
    <w:rsid w:val="00EB4EBC"/>
    <w:rsid w:val="00EB6D0B"/>
    <w:rsid w:val="00EB73E4"/>
    <w:rsid w:val="00EC0880"/>
    <w:rsid w:val="00EC217E"/>
    <w:rsid w:val="00EC6CA5"/>
    <w:rsid w:val="00ED6EC1"/>
    <w:rsid w:val="00ED701C"/>
    <w:rsid w:val="00ED7049"/>
    <w:rsid w:val="00EE16BA"/>
    <w:rsid w:val="00EE6D01"/>
    <w:rsid w:val="00F0245E"/>
    <w:rsid w:val="00F02D7D"/>
    <w:rsid w:val="00F07BFE"/>
    <w:rsid w:val="00F07F27"/>
    <w:rsid w:val="00F106C0"/>
    <w:rsid w:val="00F12A10"/>
    <w:rsid w:val="00F14E5C"/>
    <w:rsid w:val="00F22251"/>
    <w:rsid w:val="00F25316"/>
    <w:rsid w:val="00F2661B"/>
    <w:rsid w:val="00F3154E"/>
    <w:rsid w:val="00F33748"/>
    <w:rsid w:val="00F33F5C"/>
    <w:rsid w:val="00F35C24"/>
    <w:rsid w:val="00F3668E"/>
    <w:rsid w:val="00F463DC"/>
    <w:rsid w:val="00F55204"/>
    <w:rsid w:val="00F640D9"/>
    <w:rsid w:val="00F670DA"/>
    <w:rsid w:val="00F70187"/>
    <w:rsid w:val="00F721C9"/>
    <w:rsid w:val="00F72960"/>
    <w:rsid w:val="00F7398B"/>
    <w:rsid w:val="00F74BB6"/>
    <w:rsid w:val="00F76866"/>
    <w:rsid w:val="00F8013B"/>
    <w:rsid w:val="00F837A5"/>
    <w:rsid w:val="00F8672B"/>
    <w:rsid w:val="00F96E65"/>
    <w:rsid w:val="00FB24A7"/>
    <w:rsid w:val="00FB2F71"/>
    <w:rsid w:val="00FB391E"/>
    <w:rsid w:val="00FC1D38"/>
    <w:rsid w:val="00FC2455"/>
    <w:rsid w:val="00FC3200"/>
    <w:rsid w:val="00FC7650"/>
    <w:rsid w:val="00FD5AC0"/>
    <w:rsid w:val="00FD742F"/>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3CAC"/>
  <w15:docId w15:val="{39A4FD2B-301C-41AF-B800-6974162A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769085531">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422144347">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5258006">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415564588">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2144958018">
          <w:marLeft w:val="0"/>
          <w:marRight w:val="0"/>
          <w:marTop w:val="0"/>
          <w:marBottom w:val="0"/>
          <w:divBdr>
            <w:top w:val="none" w:sz="0" w:space="0" w:color="auto"/>
            <w:left w:val="none" w:sz="0" w:space="0" w:color="auto"/>
            <w:bottom w:val="none" w:sz="0" w:space="0" w:color="auto"/>
            <w:right w:val="none" w:sz="0" w:space="0" w:color="auto"/>
          </w:divBdr>
          <w:divsChild>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1185898506">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 w:id="2080668871">
      <w:bodyDiv w:val="1"/>
      <w:marLeft w:val="0"/>
      <w:marRight w:val="0"/>
      <w:marTop w:val="0"/>
      <w:marBottom w:val="0"/>
      <w:divBdr>
        <w:top w:val="none" w:sz="0" w:space="0" w:color="auto"/>
        <w:left w:val="none" w:sz="0" w:space="0" w:color="auto"/>
        <w:bottom w:val="none" w:sz="0" w:space="0" w:color="auto"/>
        <w:right w:val="none" w:sz="0" w:space="0" w:color="auto"/>
      </w:divBdr>
      <w:divsChild>
        <w:div w:id="845560125">
          <w:blockQuote w:val="1"/>
          <w:marLeft w:val="0"/>
          <w:marRight w:val="0"/>
          <w:marTop w:val="150"/>
          <w:marBottom w:val="150"/>
          <w:divBdr>
            <w:top w:val="none" w:sz="0" w:space="0" w:color="2A41B7"/>
            <w:left w:val="single" w:sz="6" w:space="8" w:color="auto"/>
            <w:bottom w:val="none" w:sz="0" w:space="0" w:color="2A41B7"/>
            <w:right w:val="none" w:sz="0" w:space="0" w:color="2A41B7"/>
          </w:divBdr>
          <w:divsChild>
            <w:div w:id="1012300226">
              <w:marLeft w:val="0"/>
              <w:marRight w:val="0"/>
              <w:marTop w:val="0"/>
              <w:marBottom w:val="0"/>
              <w:divBdr>
                <w:top w:val="none" w:sz="0" w:space="0" w:color="auto"/>
                <w:left w:val="none" w:sz="0" w:space="0" w:color="auto"/>
                <w:bottom w:val="none" w:sz="0" w:space="0" w:color="auto"/>
                <w:right w:val="none" w:sz="0" w:space="0" w:color="auto"/>
              </w:divBdr>
              <w:divsChild>
                <w:div w:id="375324830">
                  <w:marLeft w:val="0"/>
                  <w:marRight w:val="0"/>
                  <w:marTop w:val="0"/>
                  <w:marBottom w:val="0"/>
                  <w:divBdr>
                    <w:top w:val="none" w:sz="0" w:space="0" w:color="auto"/>
                    <w:left w:val="none" w:sz="0" w:space="0" w:color="auto"/>
                    <w:bottom w:val="none" w:sz="0" w:space="0" w:color="auto"/>
                    <w:right w:val="none" w:sz="0" w:space="0" w:color="auto"/>
                  </w:divBdr>
                  <w:divsChild>
                    <w:div w:id="920261524">
                      <w:marLeft w:val="0"/>
                      <w:marRight w:val="0"/>
                      <w:marTop w:val="0"/>
                      <w:marBottom w:val="0"/>
                      <w:divBdr>
                        <w:top w:val="none" w:sz="0" w:space="0" w:color="auto"/>
                        <w:left w:val="none" w:sz="0" w:space="0" w:color="auto"/>
                        <w:bottom w:val="none" w:sz="0" w:space="0" w:color="auto"/>
                        <w:right w:val="none" w:sz="0" w:space="0" w:color="auto"/>
                      </w:divBdr>
                      <w:divsChild>
                        <w:div w:id="700740461">
                          <w:marLeft w:val="0"/>
                          <w:marRight w:val="0"/>
                          <w:marTop w:val="0"/>
                          <w:marBottom w:val="0"/>
                          <w:divBdr>
                            <w:top w:val="none" w:sz="0" w:space="0" w:color="auto"/>
                            <w:left w:val="none" w:sz="0" w:space="0" w:color="auto"/>
                            <w:bottom w:val="none" w:sz="0" w:space="0" w:color="auto"/>
                            <w:right w:val="none" w:sz="0" w:space="0" w:color="auto"/>
                          </w:divBdr>
                          <w:divsChild>
                            <w:div w:id="1384331199">
                              <w:blockQuote w:val="1"/>
                              <w:marLeft w:val="0"/>
                              <w:marRight w:val="0"/>
                              <w:marTop w:val="150"/>
                              <w:marBottom w:val="150"/>
                              <w:divBdr>
                                <w:top w:val="none" w:sz="0" w:space="0" w:color="0E6802"/>
                                <w:left w:val="single" w:sz="6" w:space="8" w:color="0E6802"/>
                                <w:bottom w:val="none" w:sz="0" w:space="0" w:color="0E6802"/>
                                <w:right w:val="none" w:sz="0" w:space="0" w:color="0E6802"/>
                              </w:divBdr>
                              <w:divsChild>
                                <w:div w:id="1203637504">
                                  <w:blockQuote w:val="1"/>
                                  <w:marLeft w:val="0"/>
                                  <w:marRight w:val="0"/>
                                  <w:marTop w:val="150"/>
                                  <w:marBottom w:val="150"/>
                                  <w:divBdr>
                                    <w:top w:val="none" w:sz="0" w:space="0" w:color="5E0041"/>
                                    <w:left w:val="single" w:sz="6" w:space="8" w:color="5E0041"/>
                                    <w:bottom w:val="none" w:sz="0" w:space="0" w:color="5E0041"/>
                                    <w:right w:val="none" w:sz="0" w:space="0" w:color="5E0041"/>
                                  </w:divBdr>
                                  <w:divsChild>
                                    <w:div w:id="2029065836">
                                      <w:marLeft w:val="0"/>
                                      <w:marRight w:val="0"/>
                                      <w:marTop w:val="0"/>
                                      <w:marBottom w:val="0"/>
                                      <w:divBdr>
                                        <w:top w:val="none" w:sz="0" w:space="0" w:color="auto"/>
                                        <w:left w:val="none" w:sz="0" w:space="0" w:color="auto"/>
                                        <w:bottom w:val="none" w:sz="0" w:space="0" w:color="auto"/>
                                        <w:right w:val="none" w:sz="0" w:space="0" w:color="auto"/>
                                      </w:divBdr>
                                      <w:divsChild>
                                        <w:div w:id="201594561">
                                          <w:marLeft w:val="0"/>
                                          <w:marRight w:val="0"/>
                                          <w:marTop w:val="0"/>
                                          <w:marBottom w:val="0"/>
                                          <w:divBdr>
                                            <w:top w:val="none" w:sz="0" w:space="0" w:color="auto"/>
                                            <w:left w:val="none" w:sz="0" w:space="0" w:color="auto"/>
                                            <w:bottom w:val="none" w:sz="0" w:space="0" w:color="auto"/>
                                            <w:right w:val="none" w:sz="0" w:space="0" w:color="auto"/>
                                          </w:divBdr>
                                          <w:divsChild>
                                            <w:div w:id="475337326">
                                              <w:marLeft w:val="0"/>
                                              <w:marRight w:val="0"/>
                                              <w:marTop w:val="0"/>
                                              <w:marBottom w:val="0"/>
                                              <w:divBdr>
                                                <w:top w:val="none" w:sz="0" w:space="0" w:color="auto"/>
                                                <w:left w:val="none" w:sz="0" w:space="0" w:color="auto"/>
                                                <w:bottom w:val="none" w:sz="0" w:space="0" w:color="auto"/>
                                                <w:right w:val="none" w:sz="0" w:space="0" w:color="auto"/>
                                              </w:divBdr>
                                              <w:divsChild>
                                                <w:div w:id="580026358">
                                                  <w:marLeft w:val="0"/>
                                                  <w:marRight w:val="0"/>
                                                  <w:marTop w:val="0"/>
                                                  <w:marBottom w:val="0"/>
                                                  <w:divBdr>
                                                    <w:top w:val="none" w:sz="0" w:space="0" w:color="auto"/>
                                                    <w:left w:val="none" w:sz="0" w:space="0" w:color="auto"/>
                                                    <w:bottom w:val="none" w:sz="0" w:space="0" w:color="auto"/>
                                                    <w:right w:val="none" w:sz="0" w:space="0" w:color="auto"/>
                                                  </w:divBdr>
                                                  <w:divsChild>
                                                    <w:div w:id="547372801">
                                                      <w:blockQuote w:val="1"/>
                                                      <w:marLeft w:val="0"/>
                                                      <w:marRight w:val="0"/>
                                                      <w:marTop w:val="150"/>
                                                      <w:marBottom w:val="150"/>
                                                      <w:divBdr>
                                                        <w:top w:val="none" w:sz="0" w:space="0" w:color="2A41B7"/>
                                                        <w:left w:val="single" w:sz="6" w:space="8" w:color="2A41B7"/>
                                                        <w:bottom w:val="none" w:sz="0" w:space="0" w:color="2A41B7"/>
                                                        <w:right w:val="none" w:sz="0" w:space="0" w:color="2A41B7"/>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1D43AB"/>
    <w:rsid w:val="0020716B"/>
    <w:rsid w:val="00253EAA"/>
    <w:rsid w:val="003942C8"/>
    <w:rsid w:val="003C51E5"/>
    <w:rsid w:val="006378F0"/>
    <w:rsid w:val="006E63FF"/>
    <w:rsid w:val="006E761A"/>
    <w:rsid w:val="00846DC4"/>
    <w:rsid w:val="008F5EF0"/>
    <w:rsid w:val="009252AA"/>
    <w:rsid w:val="00A67A04"/>
    <w:rsid w:val="00B20AE5"/>
    <w:rsid w:val="00C64609"/>
    <w:rsid w:val="00C66D07"/>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3494-5079-4D8E-9674-31BDFEC9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6</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Note de version Alma – Août 2021</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Août 2021</dc:title>
  <dc:subject/>
  <dc:creator>Loïc Ducasse</dc:creator>
  <cp:keywords/>
  <dc:description/>
  <cp:lastModifiedBy>Loïc Ducasse</cp:lastModifiedBy>
  <cp:revision>3</cp:revision>
  <dcterms:created xsi:type="dcterms:W3CDTF">2021-07-21T11:04:00Z</dcterms:created>
  <dcterms:modified xsi:type="dcterms:W3CDTF">2021-07-23T12:30:00Z</dcterms:modified>
</cp:coreProperties>
</file>