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7E32A" w14:textId="77777777" w:rsidR="00D50587" w:rsidRDefault="00117E9B" w:rsidP="0000222F">
      <w:pPr>
        <w:pStyle w:val="Citationintense"/>
        <w:rPr>
          <w:rStyle w:val="Emphaseple"/>
          <w:b/>
          <w:sz w:val="56"/>
        </w:rPr>
      </w:pPr>
      <w:bookmarkStart w:id="0" w:name="_Hlk37953237"/>
      <w:r>
        <w:rPr>
          <w:rStyle w:val="Emphaseple"/>
          <w:b/>
          <w:sz w:val="56"/>
        </w:rPr>
        <w:t>Note de version Alma –</w:t>
      </w:r>
      <w:r w:rsidR="00B62FD4">
        <w:rPr>
          <w:rStyle w:val="Emphaseple"/>
          <w:b/>
          <w:sz w:val="56"/>
        </w:rPr>
        <w:t xml:space="preserve">  </w:t>
      </w:r>
    </w:p>
    <w:p w14:paraId="34D27549" w14:textId="359BD6AB" w:rsidR="009922B4" w:rsidRPr="0000222F" w:rsidRDefault="004210AF" w:rsidP="0000222F">
      <w:pPr>
        <w:pStyle w:val="Citationintense"/>
        <w:rPr>
          <w:rStyle w:val="Emphaseple"/>
          <w:b/>
          <w:sz w:val="56"/>
        </w:rPr>
      </w:pPr>
      <w:r>
        <w:rPr>
          <w:rStyle w:val="Emphaseple"/>
          <w:b/>
          <w:sz w:val="56"/>
        </w:rPr>
        <w:t>Septembre</w:t>
      </w:r>
      <w:r w:rsidR="00C0733A">
        <w:rPr>
          <w:rStyle w:val="Emphaseple"/>
          <w:b/>
          <w:sz w:val="56"/>
        </w:rPr>
        <w:t xml:space="preserve"> 2020</w:t>
      </w:r>
    </w:p>
    <w:p w14:paraId="08EA3FC0" w14:textId="77777777" w:rsidR="004B003B" w:rsidRDefault="004B003B" w:rsidP="004B003B"/>
    <w:p w14:paraId="1D9C4E24" w14:textId="60BFD6A0" w:rsidR="009868D5" w:rsidRPr="00270474" w:rsidRDefault="009868D5" w:rsidP="004B003B">
      <w:pPr>
        <w:rPr>
          <w:rFonts w:ascii="Helvetica" w:hAnsi="Helvetica" w:cs="Helvetica"/>
          <w:sz w:val="16"/>
          <w:szCs w:val="16"/>
        </w:rPr>
      </w:pPr>
      <w:r w:rsidRPr="00270474">
        <w:rPr>
          <w:rFonts w:ascii="Helvetica" w:hAnsi="Helvetica" w:cs="Helvetica"/>
          <w:sz w:val="16"/>
          <w:szCs w:val="16"/>
        </w:rPr>
        <w:t xml:space="preserve">Source : </w:t>
      </w:r>
      <w:hyperlink r:id="rId8" w:history="1">
        <w:r w:rsidR="0068052A" w:rsidRPr="009B3815">
          <w:rPr>
            <w:rStyle w:val="Lienhypertexte"/>
            <w:rFonts w:ascii="Helvetica" w:hAnsi="Helvetica"/>
            <w:sz w:val="16"/>
            <w:szCs w:val="16"/>
          </w:rPr>
          <w:t>https://knowledge.exlibrisgroup.com/Alma/Release_Notes/2020/Alma_2020_Release_Notes?mon=202009BASE</w:t>
        </w:r>
      </w:hyperlink>
      <w:r w:rsidR="00270474" w:rsidRPr="00270474">
        <w:rPr>
          <w:rFonts w:ascii="Helvetica" w:hAnsi="Helvetica"/>
          <w:sz w:val="16"/>
          <w:szCs w:val="16"/>
        </w:rPr>
        <w:t xml:space="preserve"> </w:t>
      </w:r>
      <w:r w:rsidRPr="00270474">
        <w:rPr>
          <w:rFonts w:ascii="Helvetica" w:hAnsi="Helvetica" w:cs="Helvetica"/>
          <w:sz w:val="16"/>
          <w:szCs w:val="16"/>
        </w:rPr>
        <w:t xml:space="preserve"> </w:t>
      </w:r>
    </w:p>
    <w:p w14:paraId="106E870F" w14:textId="77777777" w:rsidR="009868D5" w:rsidRDefault="009868D5" w:rsidP="004B003B"/>
    <w:p w14:paraId="7B4004F7" w14:textId="77777777" w:rsidR="00EB73E4" w:rsidRDefault="00EB73E4" w:rsidP="004B003B"/>
    <w:p w14:paraId="620B729C" w14:textId="77777777" w:rsidR="00EB73E4" w:rsidRPr="006C3D7A" w:rsidRDefault="00EB73E4" w:rsidP="00EB73E4">
      <w:pPr>
        <w:pStyle w:val="Titre1"/>
        <w:rPr>
          <w:rFonts w:asciiTheme="minorHAnsi" w:hAnsiTheme="minorHAnsi"/>
          <w:color w:val="auto"/>
          <w:sz w:val="40"/>
        </w:rPr>
      </w:pPr>
      <w:bookmarkStart w:id="1" w:name="OLE_LINK1"/>
      <w:bookmarkStart w:id="2" w:name="OLE_LINK2"/>
      <w:r>
        <w:rPr>
          <w:rFonts w:asciiTheme="minorHAnsi" w:hAnsiTheme="minorHAnsi"/>
          <w:color w:val="auto"/>
          <w:sz w:val="40"/>
        </w:rPr>
        <w:t>Administration générale</w:t>
      </w:r>
    </w:p>
    <w:p w14:paraId="6C38C6AD" w14:textId="77777777" w:rsidR="00D50587" w:rsidRDefault="00D50587" w:rsidP="00D45973">
      <w:pPr>
        <w:jc w:val="both"/>
        <w:rPr>
          <w:rFonts w:ascii="Helvetica" w:hAnsi="Helvetica"/>
          <w:sz w:val="20"/>
        </w:rPr>
      </w:pPr>
    </w:p>
    <w:p w14:paraId="592ACC4A" w14:textId="03015EFE" w:rsidR="00EB73E4" w:rsidRDefault="00181D92" w:rsidP="00EB73E4">
      <w:pPr>
        <w:pStyle w:val="Titre2"/>
        <w:jc w:val="both"/>
        <w:rPr>
          <w:rFonts w:asciiTheme="minorHAnsi" w:hAnsiTheme="minorHAnsi"/>
          <w:color w:val="auto"/>
          <w:sz w:val="32"/>
        </w:rPr>
      </w:pPr>
      <w:r>
        <w:rPr>
          <w:rFonts w:asciiTheme="minorHAnsi" w:hAnsiTheme="minorHAnsi"/>
          <w:color w:val="auto"/>
          <w:sz w:val="32"/>
        </w:rPr>
        <w:t>Evolution de l’interface</w:t>
      </w:r>
    </w:p>
    <w:p w14:paraId="6484DB5F" w14:textId="193EC609" w:rsidR="0068052A" w:rsidRDefault="0068052A" w:rsidP="00181D92">
      <w:pPr>
        <w:jc w:val="both"/>
        <w:rPr>
          <w:rFonts w:ascii="Helvetica" w:hAnsi="Helvetica"/>
          <w:sz w:val="20"/>
        </w:rPr>
      </w:pPr>
      <w:r>
        <w:rPr>
          <w:rFonts w:ascii="Helvetica" w:hAnsi="Helvetica"/>
          <w:sz w:val="20"/>
        </w:rPr>
        <w:t>L’affichage par défaut de la nouvelle interface d’Alma, prévue pour le 6 septembre, a été différé au 1</w:t>
      </w:r>
      <w:r w:rsidRPr="0068052A">
        <w:rPr>
          <w:rFonts w:ascii="Helvetica" w:hAnsi="Helvetica"/>
          <w:sz w:val="20"/>
          <w:vertAlign w:val="superscript"/>
        </w:rPr>
        <w:t>er</w:t>
      </w:r>
      <w:r>
        <w:rPr>
          <w:rFonts w:ascii="Helvetica" w:hAnsi="Helvetica"/>
          <w:sz w:val="20"/>
        </w:rPr>
        <w:t xml:space="preserve"> novembre. </w:t>
      </w:r>
    </w:p>
    <w:p w14:paraId="184005D6" w14:textId="7867D87E" w:rsidR="0068052A" w:rsidRDefault="0068052A" w:rsidP="00181D92">
      <w:pPr>
        <w:jc w:val="both"/>
        <w:rPr>
          <w:rFonts w:ascii="Helvetica" w:hAnsi="Helvetica"/>
          <w:sz w:val="20"/>
        </w:rPr>
      </w:pPr>
      <w:r>
        <w:rPr>
          <w:rFonts w:ascii="Helvetica" w:hAnsi="Helvetica"/>
          <w:sz w:val="20"/>
        </w:rPr>
        <w:t>Cette nouvelle interface peut être testée avec la version de septembre, mais la bascule vers celle-ci né</w:t>
      </w:r>
      <w:r w:rsidR="00017DB4">
        <w:rPr>
          <w:rFonts w:ascii="Helvetica" w:hAnsi="Helvetica"/>
          <w:sz w:val="20"/>
        </w:rPr>
        <w:t>cessite une action manuelle : un clic sur « </w:t>
      </w:r>
      <w:proofErr w:type="spellStart"/>
      <w:r w:rsidR="00017DB4">
        <w:rPr>
          <w:rFonts w:ascii="Helvetica" w:hAnsi="Helvetica"/>
          <w:sz w:val="20"/>
        </w:rPr>
        <w:t>Enable</w:t>
      </w:r>
      <w:proofErr w:type="spellEnd"/>
      <w:r w:rsidR="00017DB4">
        <w:rPr>
          <w:rFonts w:ascii="Helvetica" w:hAnsi="Helvetica"/>
          <w:sz w:val="20"/>
        </w:rPr>
        <w:t xml:space="preserve"> New </w:t>
      </w:r>
      <w:proofErr w:type="spellStart"/>
      <w:r w:rsidR="00017DB4">
        <w:rPr>
          <w:rFonts w:ascii="Helvetica" w:hAnsi="Helvetica"/>
          <w:sz w:val="20"/>
        </w:rPr>
        <w:t>Layout</w:t>
      </w:r>
      <w:proofErr w:type="spellEnd"/>
      <w:r w:rsidR="00017DB4">
        <w:rPr>
          <w:rFonts w:ascii="Helvetica" w:hAnsi="Helvetica"/>
          <w:sz w:val="20"/>
        </w:rPr>
        <w:t> » dans le menu personnel matérialisé par une icône en forme de silhouette</w:t>
      </w:r>
      <w:proofErr w:type="gramStart"/>
      <w:r w:rsidR="00017DB4">
        <w:rPr>
          <w:rFonts w:ascii="Helvetica" w:hAnsi="Helvetica"/>
          <w:sz w:val="20"/>
        </w:rPr>
        <w:t xml:space="preserve">. </w:t>
      </w:r>
      <w:r>
        <w:rPr>
          <w:rFonts w:ascii="Helvetica" w:hAnsi="Helvetica"/>
          <w:sz w:val="20"/>
        </w:rPr>
        <w:t>.</w:t>
      </w:r>
      <w:proofErr w:type="gramEnd"/>
    </w:p>
    <w:p w14:paraId="381F0150" w14:textId="32B58219" w:rsidR="0068052A" w:rsidRDefault="00017DB4" w:rsidP="00017DB4">
      <w:pPr>
        <w:jc w:val="center"/>
        <w:rPr>
          <w:rFonts w:ascii="Helvetica" w:hAnsi="Helvetica"/>
          <w:sz w:val="20"/>
        </w:rPr>
      </w:pPr>
      <w:bookmarkStart w:id="3" w:name="_GoBack"/>
      <w:r>
        <w:rPr>
          <w:rFonts w:ascii="Helvetica" w:hAnsi="Helvetica"/>
          <w:noProof/>
          <w:sz w:val="20"/>
          <w:lang w:eastAsia="fr-FR"/>
        </w:rPr>
        <w:drawing>
          <wp:inline distT="0" distB="0" distL="0" distR="0" wp14:anchorId="784CD085" wp14:editId="08554C36">
            <wp:extent cx="4038095" cy="3333333"/>
            <wp:effectExtent l="0" t="0" r="635"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09-08_133724.png"/>
                    <pic:cNvPicPr/>
                  </pic:nvPicPr>
                  <pic:blipFill>
                    <a:blip r:embed="rId9">
                      <a:extLst>
                        <a:ext uri="{28A0092B-C50C-407E-A947-70E740481C1C}">
                          <a14:useLocalDpi xmlns:a14="http://schemas.microsoft.com/office/drawing/2010/main" val="0"/>
                        </a:ext>
                      </a:extLst>
                    </a:blip>
                    <a:stretch>
                      <a:fillRect/>
                    </a:stretch>
                  </pic:blipFill>
                  <pic:spPr>
                    <a:xfrm>
                      <a:off x="0" y="0"/>
                      <a:ext cx="4038095" cy="3333333"/>
                    </a:xfrm>
                    <a:prstGeom prst="rect">
                      <a:avLst/>
                    </a:prstGeom>
                  </pic:spPr>
                </pic:pic>
              </a:graphicData>
            </a:graphic>
          </wp:inline>
        </w:drawing>
      </w:r>
      <w:bookmarkEnd w:id="3"/>
    </w:p>
    <w:p w14:paraId="05DB046B" w14:textId="4E6E45D2" w:rsidR="0068052A" w:rsidRDefault="0068052A" w:rsidP="00181D92">
      <w:pPr>
        <w:jc w:val="both"/>
        <w:rPr>
          <w:rFonts w:ascii="Helvetica" w:hAnsi="Helvetica"/>
          <w:sz w:val="20"/>
        </w:rPr>
      </w:pPr>
    </w:p>
    <w:p w14:paraId="77795916" w14:textId="5B4BF251" w:rsidR="0068052A" w:rsidRDefault="0068052A" w:rsidP="00181D92">
      <w:pPr>
        <w:jc w:val="both"/>
        <w:rPr>
          <w:rFonts w:ascii="Helvetica" w:hAnsi="Helvetica"/>
          <w:sz w:val="20"/>
        </w:rPr>
      </w:pPr>
      <w:r>
        <w:rPr>
          <w:rFonts w:ascii="Helvetica" w:hAnsi="Helvetica"/>
          <w:sz w:val="20"/>
        </w:rPr>
        <w:t>Le retour à l’interface actuelle reste possible par le même truchement. Ce retour à l’ancienne interface restera possible après le 1</w:t>
      </w:r>
      <w:r w:rsidRPr="0068052A">
        <w:rPr>
          <w:rFonts w:ascii="Helvetica" w:hAnsi="Helvetica"/>
          <w:sz w:val="20"/>
          <w:vertAlign w:val="superscript"/>
        </w:rPr>
        <w:t>er</w:t>
      </w:r>
      <w:r>
        <w:rPr>
          <w:rFonts w:ascii="Helvetica" w:hAnsi="Helvetica"/>
          <w:sz w:val="20"/>
        </w:rPr>
        <w:t xml:space="preserve"> novembre, mais uniquement jusqu’au 5 mars. A cette date, la nouvelle interface remplacera définitivement l’interface actuelle pour l’ensemble des utilisateurs professionnels d’Alma.  </w:t>
      </w:r>
    </w:p>
    <w:p w14:paraId="0B9BECE3" w14:textId="74C0B212" w:rsidR="0068052A" w:rsidRDefault="0068052A" w:rsidP="00181D92">
      <w:pPr>
        <w:jc w:val="both"/>
        <w:rPr>
          <w:rFonts w:ascii="Helvetica" w:hAnsi="Helvetica"/>
          <w:sz w:val="20"/>
        </w:rPr>
      </w:pPr>
    </w:p>
    <w:p w14:paraId="1F7C43B8" w14:textId="77777777" w:rsidR="0068052A" w:rsidRDefault="0068052A" w:rsidP="00181D92">
      <w:pPr>
        <w:jc w:val="both"/>
        <w:rPr>
          <w:rFonts w:ascii="Helvetica" w:hAnsi="Helvetica"/>
          <w:sz w:val="20"/>
        </w:rPr>
      </w:pPr>
    </w:p>
    <w:bookmarkEnd w:id="1"/>
    <w:bookmarkEnd w:id="2"/>
    <w:p w14:paraId="3775CCEB" w14:textId="77777777" w:rsidR="003B040C" w:rsidRDefault="003B040C">
      <w:pPr>
        <w:rPr>
          <w:rFonts w:eastAsiaTheme="majorEastAsia" w:cstheme="majorBidi"/>
          <w:sz w:val="40"/>
          <w:szCs w:val="40"/>
        </w:rPr>
      </w:pPr>
      <w:r>
        <w:rPr>
          <w:sz w:val="40"/>
          <w:szCs w:val="40"/>
        </w:rPr>
        <w:br w:type="page"/>
      </w:r>
    </w:p>
    <w:p w14:paraId="18724533" w14:textId="43EBB87E" w:rsidR="003E1E4A" w:rsidRPr="006C3D7A" w:rsidRDefault="003E1E4A" w:rsidP="003E1E4A">
      <w:pPr>
        <w:pStyle w:val="Titre1"/>
        <w:rPr>
          <w:rFonts w:asciiTheme="minorHAnsi" w:hAnsiTheme="minorHAnsi"/>
          <w:color w:val="auto"/>
          <w:sz w:val="40"/>
        </w:rPr>
      </w:pPr>
      <w:bookmarkStart w:id="4" w:name="_Hlk37951315"/>
      <w:r>
        <w:rPr>
          <w:rFonts w:asciiTheme="minorHAnsi" w:hAnsiTheme="minorHAnsi"/>
          <w:color w:val="auto"/>
          <w:sz w:val="40"/>
        </w:rPr>
        <w:lastRenderedPageBreak/>
        <w:t>Acquisitions</w:t>
      </w:r>
    </w:p>
    <w:p w14:paraId="06A661C3" w14:textId="77777777" w:rsidR="003E1E4A" w:rsidRDefault="003E1E4A" w:rsidP="003E1E4A">
      <w:pPr>
        <w:rPr>
          <w:lang w:eastAsia="fr-FR"/>
        </w:rPr>
      </w:pPr>
    </w:p>
    <w:p w14:paraId="2925E8DA" w14:textId="2BDCB3E3" w:rsidR="003E1E4A" w:rsidRPr="003E1E4A" w:rsidRDefault="003E1E4A" w:rsidP="003E1E4A">
      <w:pPr>
        <w:keepNext/>
        <w:keepLines/>
        <w:spacing w:before="40" w:after="0"/>
        <w:jc w:val="both"/>
        <w:outlineLvl w:val="1"/>
        <w:rPr>
          <w:rFonts w:eastAsia="Times New Roman" w:cstheme="minorHAnsi"/>
          <w:sz w:val="32"/>
          <w:szCs w:val="26"/>
          <w:lang w:eastAsia="fr-FR"/>
        </w:rPr>
      </w:pPr>
      <w:r w:rsidRPr="003E1E4A">
        <w:rPr>
          <w:rFonts w:eastAsia="Times New Roman" w:cstheme="minorHAnsi"/>
          <w:sz w:val="32"/>
          <w:szCs w:val="26"/>
          <w:lang w:eastAsia="fr-FR"/>
        </w:rPr>
        <w:t>Définition d’un taux de change fixe</w:t>
      </w:r>
    </w:p>
    <w:bookmarkEnd w:id="4"/>
    <w:p w14:paraId="2E62B0A3" w14:textId="77777777" w:rsidR="003E1E4A" w:rsidRPr="003E1E4A" w:rsidRDefault="003E1E4A" w:rsidP="003E1E4A">
      <w:pPr>
        <w:shd w:val="clear" w:color="auto" w:fill="FFFFFF"/>
        <w:jc w:val="both"/>
        <w:rPr>
          <w:rFonts w:ascii="Helvetica" w:eastAsia="Times New Roman" w:hAnsi="Helvetica" w:cstheme="minorHAnsi"/>
          <w:color w:val="000000"/>
          <w:sz w:val="20"/>
          <w:szCs w:val="20"/>
          <w:lang w:eastAsia="fr-FR"/>
        </w:rPr>
      </w:pPr>
      <w:r w:rsidRPr="003E1E4A">
        <w:rPr>
          <w:rFonts w:ascii="Helvetica" w:eastAsia="Times New Roman" w:hAnsi="Helvetica" w:cstheme="minorHAnsi"/>
          <w:color w:val="000000"/>
          <w:sz w:val="20"/>
          <w:szCs w:val="20"/>
          <w:lang w:eastAsia="fr-FR"/>
        </w:rPr>
        <w:t>Pour les bibliothèques qui achètent des ressources avec une devise différente de celle qui est définie par défaut pour l’institution (euro) et qui ont des accords sur des taux de change spécifique avec certains fournisseurs, il est possible de définir ce taux de change fixe dans une table de codes dédiée.</w:t>
      </w:r>
    </w:p>
    <w:p w14:paraId="1B1F34F5" w14:textId="77777777" w:rsidR="003E1E4A" w:rsidRPr="003E1E4A" w:rsidRDefault="003E1E4A" w:rsidP="003E1E4A">
      <w:pPr>
        <w:shd w:val="clear" w:color="auto" w:fill="FFFFFF"/>
        <w:jc w:val="both"/>
        <w:rPr>
          <w:rFonts w:ascii="Helvetica" w:eastAsia="Times New Roman" w:hAnsi="Helvetica" w:cstheme="minorHAnsi"/>
          <w:color w:val="000000"/>
          <w:sz w:val="20"/>
          <w:szCs w:val="20"/>
          <w:lang w:eastAsia="fr-FR"/>
        </w:rPr>
      </w:pPr>
      <w:r w:rsidRPr="003E1E4A">
        <w:rPr>
          <w:rFonts w:ascii="Helvetica" w:eastAsia="Times New Roman" w:hAnsi="Helvetica" w:cstheme="minorHAnsi"/>
          <w:color w:val="000000"/>
          <w:sz w:val="20"/>
          <w:szCs w:val="20"/>
          <w:lang w:eastAsia="fr-FR"/>
        </w:rPr>
        <w:t xml:space="preserve">La table de codes à alimenter se trouve dans Menu de configuration&gt; Acquisitions&gt; Factures&gt; Taux de change explicites. </w:t>
      </w:r>
    </w:p>
    <w:p w14:paraId="173F6962" w14:textId="77777777" w:rsidR="003E1E4A" w:rsidRPr="003E1E4A" w:rsidRDefault="003E1E4A" w:rsidP="003E1E4A">
      <w:pPr>
        <w:shd w:val="clear" w:color="auto" w:fill="FFFFFF"/>
        <w:jc w:val="both"/>
        <w:rPr>
          <w:rFonts w:ascii="Helvetica" w:eastAsia="Times New Roman" w:hAnsi="Helvetica" w:cstheme="minorHAnsi"/>
          <w:color w:val="000000"/>
          <w:sz w:val="20"/>
          <w:szCs w:val="20"/>
          <w:lang w:eastAsia="fr-FR"/>
        </w:rPr>
      </w:pPr>
      <w:r w:rsidRPr="003E1E4A">
        <w:rPr>
          <w:rFonts w:ascii="Helvetica" w:eastAsia="Times New Roman" w:hAnsi="Helvetica" w:cstheme="minorHAnsi"/>
          <w:noProof/>
          <w:color w:val="000000"/>
          <w:sz w:val="20"/>
          <w:szCs w:val="20"/>
          <w:lang w:eastAsia="fr-FR"/>
        </w:rPr>
        <w:drawing>
          <wp:inline distT="0" distB="0" distL="0" distR="0" wp14:anchorId="7404E3A8" wp14:editId="7A9EA428">
            <wp:extent cx="2514951" cy="261021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14951" cy="2610214"/>
                    </a:xfrm>
                    <a:prstGeom prst="rect">
                      <a:avLst/>
                    </a:prstGeom>
                  </pic:spPr>
                </pic:pic>
              </a:graphicData>
            </a:graphic>
          </wp:inline>
        </w:drawing>
      </w:r>
    </w:p>
    <w:p w14:paraId="76BA87ED" w14:textId="77777777" w:rsidR="003E1E4A" w:rsidRPr="003E1E4A" w:rsidRDefault="003E1E4A" w:rsidP="003E1E4A">
      <w:pPr>
        <w:shd w:val="clear" w:color="auto" w:fill="FFFFFF"/>
        <w:jc w:val="both"/>
        <w:rPr>
          <w:rFonts w:ascii="Helvetica" w:eastAsia="Times New Roman" w:hAnsi="Helvetica" w:cstheme="minorHAnsi"/>
          <w:color w:val="000000"/>
          <w:sz w:val="20"/>
          <w:szCs w:val="20"/>
          <w:lang w:eastAsia="fr-FR"/>
        </w:rPr>
      </w:pPr>
      <w:r w:rsidRPr="003E1E4A">
        <w:rPr>
          <w:rFonts w:ascii="Helvetica" w:eastAsia="Times New Roman" w:hAnsi="Helvetica" w:cstheme="minorHAnsi"/>
          <w:noProof/>
          <w:color w:val="000000"/>
          <w:sz w:val="20"/>
          <w:szCs w:val="20"/>
          <w:lang w:eastAsia="fr-FR"/>
        </w:rPr>
        <w:drawing>
          <wp:inline distT="0" distB="0" distL="0" distR="0" wp14:anchorId="330C83C0" wp14:editId="022721EA">
            <wp:extent cx="5760720" cy="455930"/>
            <wp:effectExtent l="0" t="0" r="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455930"/>
                    </a:xfrm>
                    <a:prstGeom prst="rect">
                      <a:avLst/>
                    </a:prstGeom>
                  </pic:spPr>
                </pic:pic>
              </a:graphicData>
            </a:graphic>
          </wp:inline>
        </w:drawing>
      </w:r>
    </w:p>
    <w:p w14:paraId="6CFD7932" w14:textId="77777777" w:rsidR="003E1E4A" w:rsidRPr="003E1E4A" w:rsidRDefault="003E1E4A" w:rsidP="003E1E4A">
      <w:pPr>
        <w:shd w:val="clear" w:color="auto" w:fill="FFFFFF"/>
        <w:jc w:val="both"/>
        <w:rPr>
          <w:rFonts w:ascii="Helvetica" w:hAnsi="Helvetica" w:cs="Helvetica"/>
          <w:bCs/>
          <w:color w:val="000000" w:themeColor="text1"/>
          <w:sz w:val="20"/>
          <w:szCs w:val="20"/>
          <w:shd w:val="clear" w:color="auto" w:fill="FFFFFF"/>
        </w:rPr>
      </w:pPr>
      <w:r w:rsidRPr="003E1E4A">
        <w:rPr>
          <w:rFonts w:ascii="Helvetica" w:eastAsia="Times New Roman" w:hAnsi="Helvetica" w:cstheme="minorHAnsi"/>
          <w:color w:val="000000"/>
          <w:sz w:val="20"/>
          <w:szCs w:val="20"/>
          <w:lang w:eastAsia="fr-FR"/>
        </w:rPr>
        <w:t>Pour activer cette fonctionnalité, elle doit être définie sur « </w:t>
      </w:r>
      <w:proofErr w:type="spellStart"/>
      <w:r w:rsidRPr="003E1E4A">
        <w:rPr>
          <w:rFonts w:ascii="Helvetica" w:eastAsia="Times New Roman" w:hAnsi="Helvetica" w:cstheme="minorHAnsi"/>
          <w:color w:val="000000"/>
          <w:sz w:val="20"/>
          <w:szCs w:val="20"/>
          <w:lang w:eastAsia="fr-FR"/>
        </w:rPr>
        <w:t>true</w:t>
      </w:r>
      <w:proofErr w:type="spellEnd"/>
      <w:r w:rsidRPr="003E1E4A">
        <w:rPr>
          <w:rFonts w:ascii="Helvetica" w:eastAsia="Times New Roman" w:hAnsi="Helvetica" w:cstheme="minorHAnsi"/>
          <w:color w:val="000000"/>
          <w:sz w:val="20"/>
          <w:szCs w:val="20"/>
          <w:lang w:eastAsia="fr-FR"/>
        </w:rPr>
        <w:t xml:space="preserve"> » </w:t>
      </w:r>
      <w:proofErr w:type="gramStart"/>
      <w:r w:rsidRPr="003E1E4A">
        <w:rPr>
          <w:rFonts w:ascii="Helvetica" w:eastAsia="Times New Roman" w:hAnsi="Helvetica" w:cs="Helvetica"/>
          <w:color w:val="000000" w:themeColor="text1"/>
          <w:sz w:val="20"/>
          <w:szCs w:val="20"/>
          <w:lang w:eastAsia="fr-FR"/>
        </w:rPr>
        <w:t xml:space="preserve">dans </w:t>
      </w:r>
      <w:r w:rsidRPr="003E1E4A">
        <w:rPr>
          <w:rFonts w:ascii="Helvetica" w:hAnsi="Helvetica" w:cs="Helvetica"/>
          <w:color w:val="000000" w:themeColor="text1"/>
          <w:sz w:val="20"/>
          <w:szCs w:val="20"/>
          <w:shd w:val="clear" w:color="auto" w:fill="FFFFFF"/>
        </w:rPr>
        <w:t> </w:t>
      </w:r>
      <w:r w:rsidRPr="003E1E4A">
        <w:rPr>
          <w:rFonts w:ascii="Helvetica" w:hAnsi="Helvetica" w:cs="Helvetica"/>
          <w:bCs/>
          <w:color w:val="000000" w:themeColor="text1"/>
          <w:sz w:val="20"/>
          <w:szCs w:val="20"/>
          <w:shd w:val="clear" w:color="auto" w:fill="FFFFFF"/>
        </w:rPr>
        <w:t>menu</w:t>
      </w:r>
      <w:proofErr w:type="gramEnd"/>
      <w:r w:rsidRPr="003E1E4A">
        <w:rPr>
          <w:rFonts w:ascii="Helvetica" w:hAnsi="Helvetica" w:cs="Helvetica"/>
          <w:bCs/>
          <w:color w:val="000000" w:themeColor="text1"/>
          <w:sz w:val="20"/>
          <w:szCs w:val="20"/>
          <w:shd w:val="clear" w:color="auto" w:fill="FFFFFF"/>
        </w:rPr>
        <w:t xml:space="preserve"> Configuration&gt; Acquisitions&gt; Autres paramètres</w:t>
      </w:r>
    </w:p>
    <w:p w14:paraId="531F54CB" w14:textId="77777777" w:rsidR="003E1E4A" w:rsidRPr="003E1E4A" w:rsidRDefault="003E1E4A" w:rsidP="003E1E4A">
      <w:pPr>
        <w:shd w:val="clear" w:color="auto" w:fill="FFFFFF"/>
        <w:jc w:val="both"/>
        <w:rPr>
          <w:rFonts w:ascii="Helvetica" w:eastAsia="Times New Roman" w:hAnsi="Helvetica" w:cstheme="minorHAnsi"/>
          <w:color w:val="000000"/>
          <w:sz w:val="20"/>
          <w:szCs w:val="20"/>
          <w:lang w:eastAsia="fr-FR"/>
        </w:rPr>
      </w:pPr>
      <w:r w:rsidRPr="003E1E4A">
        <w:rPr>
          <w:rFonts w:ascii="Helvetica" w:eastAsia="Times New Roman" w:hAnsi="Helvetica" w:cstheme="minorHAnsi"/>
          <w:noProof/>
          <w:color w:val="000000"/>
          <w:sz w:val="20"/>
          <w:szCs w:val="20"/>
          <w:lang w:eastAsia="fr-FR"/>
        </w:rPr>
        <w:drawing>
          <wp:inline distT="0" distB="0" distL="0" distR="0" wp14:anchorId="324CB439" wp14:editId="43AABA9D">
            <wp:extent cx="5760720" cy="204470"/>
            <wp:effectExtent l="0" t="0" r="0"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04470"/>
                    </a:xfrm>
                    <a:prstGeom prst="rect">
                      <a:avLst/>
                    </a:prstGeom>
                  </pic:spPr>
                </pic:pic>
              </a:graphicData>
            </a:graphic>
          </wp:inline>
        </w:drawing>
      </w:r>
    </w:p>
    <w:p w14:paraId="44D0C484" w14:textId="15AC1FF6" w:rsidR="00CB1A01" w:rsidRDefault="00CB1A01" w:rsidP="00CB1A01">
      <w:pPr>
        <w:jc w:val="both"/>
        <w:rPr>
          <w:rFonts w:ascii="Helvetica" w:hAnsi="Helvetica"/>
          <w:sz w:val="20"/>
        </w:rPr>
      </w:pPr>
    </w:p>
    <w:p w14:paraId="180FD7F8" w14:textId="77777777" w:rsidR="00CB1A01" w:rsidRDefault="00CB1A01" w:rsidP="00CB1A01">
      <w:pPr>
        <w:jc w:val="both"/>
      </w:pPr>
    </w:p>
    <w:p w14:paraId="042A596C" w14:textId="77777777" w:rsidR="0068052A" w:rsidRDefault="0068052A">
      <w:pPr>
        <w:rPr>
          <w:sz w:val="40"/>
          <w:szCs w:val="40"/>
        </w:rPr>
      </w:pPr>
      <w:bookmarkStart w:id="5" w:name="_Hlk37951861"/>
      <w:r>
        <w:rPr>
          <w:sz w:val="40"/>
          <w:szCs w:val="40"/>
        </w:rPr>
        <w:br w:type="page"/>
      </w:r>
    </w:p>
    <w:p w14:paraId="395F936F" w14:textId="65658EF6" w:rsidR="00CB1A01" w:rsidRPr="002A2F7D" w:rsidRDefault="00CB1A01" w:rsidP="00CB1A01">
      <w:pPr>
        <w:jc w:val="both"/>
        <w:rPr>
          <w:sz w:val="40"/>
          <w:szCs w:val="40"/>
        </w:rPr>
      </w:pPr>
      <w:r w:rsidRPr="002A2F7D">
        <w:rPr>
          <w:sz w:val="40"/>
          <w:szCs w:val="40"/>
        </w:rPr>
        <w:lastRenderedPageBreak/>
        <w:t>Gestion des données</w:t>
      </w:r>
    </w:p>
    <w:p w14:paraId="2A66AF79" w14:textId="1458BE35" w:rsidR="00CB1A01" w:rsidRPr="002A2F7D" w:rsidRDefault="002A2F7D" w:rsidP="0068052A">
      <w:pPr>
        <w:pStyle w:val="Titre2"/>
        <w:jc w:val="both"/>
        <w:rPr>
          <w:rFonts w:ascii="Helvetica" w:hAnsi="Helvetica"/>
          <w:sz w:val="20"/>
        </w:rPr>
      </w:pPr>
      <w:r w:rsidRPr="002A2F7D">
        <w:rPr>
          <w:rFonts w:ascii="Calibri" w:hAnsi="Calibri" w:cs="Calibri"/>
          <w:color w:val="auto"/>
          <w:sz w:val="32"/>
        </w:rPr>
        <w:t>Nouvel éditeur de métadonnées</w:t>
      </w:r>
    </w:p>
    <w:p w14:paraId="7C258FA0" w14:textId="77777777" w:rsidR="002A2F7D" w:rsidRDefault="002A2F7D">
      <w:pPr>
        <w:rPr>
          <w:sz w:val="40"/>
          <w:szCs w:val="40"/>
        </w:rPr>
      </w:pPr>
      <w:r w:rsidRPr="002A2F7D">
        <w:rPr>
          <w:rFonts w:ascii="Helvetica" w:hAnsi="Helvetica"/>
          <w:sz w:val="20"/>
        </w:rPr>
        <w:t>Un lien est désormais disponible pour accéder au nouvel éditeur de métadonnées.</w:t>
      </w:r>
      <w:r>
        <w:rPr>
          <w:sz w:val="40"/>
          <w:szCs w:val="40"/>
        </w:rPr>
        <w:t xml:space="preserve"> </w:t>
      </w:r>
    </w:p>
    <w:p w14:paraId="7EA9C380" w14:textId="66167F26" w:rsidR="002A2F7D" w:rsidRDefault="002A2F7D">
      <w:pPr>
        <w:rPr>
          <w:sz w:val="40"/>
          <w:szCs w:val="40"/>
        </w:rPr>
      </w:pPr>
      <w:r>
        <w:rPr>
          <w:noProof/>
          <w:sz w:val="40"/>
          <w:szCs w:val="40"/>
          <w:lang w:eastAsia="fr-FR"/>
        </w:rPr>
        <w:drawing>
          <wp:inline distT="0" distB="0" distL="0" distR="0" wp14:anchorId="0818C7AC" wp14:editId="50EDD9F2">
            <wp:extent cx="5760720" cy="853440"/>
            <wp:effectExtent l="0" t="0" r="0"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09-04_14395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853440"/>
                    </a:xfrm>
                    <a:prstGeom prst="rect">
                      <a:avLst/>
                    </a:prstGeom>
                  </pic:spPr>
                </pic:pic>
              </a:graphicData>
            </a:graphic>
          </wp:inline>
        </w:drawing>
      </w:r>
    </w:p>
    <w:p w14:paraId="5FCB607D" w14:textId="0F3F55DF" w:rsidR="002A2F7D" w:rsidRDefault="002A2F7D">
      <w:pPr>
        <w:rPr>
          <w:rFonts w:ascii="Helvetica" w:hAnsi="Helvetica"/>
          <w:sz w:val="20"/>
          <w:szCs w:val="20"/>
        </w:rPr>
      </w:pPr>
    </w:p>
    <w:p w14:paraId="0BCDF274" w14:textId="09F61EC1" w:rsidR="00132CF4" w:rsidRDefault="00132CF4">
      <w:pPr>
        <w:rPr>
          <w:rFonts w:ascii="Helvetica" w:hAnsi="Helvetica"/>
          <w:sz w:val="20"/>
          <w:szCs w:val="20"/>
        </w:rPr>
      </w:pPr>
      <w:r>
        <w:rPr>
          <w:rFonts w:ascii="Helvetica" w:hAnsi="Helvetica"/>
          <w:sz w:val="20"/>
          <w:szCs w:val="20"/>
        </w:rPr>
        <w:t xml:space="preserve">Le retour à l’ancien éditeur reste possible en cliquant sur « Old Editor ». </w:t>
      </w:r>
    </w:p>
    <w:p w14:paraId="4206964C" w14:textId="077FCF23" w:rsidR="00132CF4" w:rsidRDefault="00132CF4">
      <w:pPr>
        <w:rPr>
          <w:rFonts w:ascii="Helvetica" w:hAnsi="Helvetica"/>
          <w:sz w:val="20"/>
          <w:szCs w:val="20"/>
        </w:rPr>
      </w:pPr>
      <w:r>
        <w:rPr>
          <w:rFonts w:ascii="Helvetica" w:hAnsi="Helvetica"/>
          <w:noProof/>
          <w:sz w:val="20"/>
          <w:szCs w:val="20"/>
          <w:lang w:eastAsia="fr-FR"/>
        </w:rPr>
        <w:drawing>
          <wp:inline distT="0" distB="0" distL="0" distR="0" wp14:anchorId="4D3A2CAF" wp14:editId="6748A08D">
            <wp:extent cx="5760720" cy="2811145"/>
            <wp:effectExtent l="0" t="0" r="0" b="825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0-09-04_14424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2811145"/>
                    </a:xfrm>
                    <a:prstGeom prst="rect">
                      <a:avLst/>
                    </a:prstGeom>
                  </pic:spPr>
                </pic:pic>
              </a:graphicData>
            </a:graphic>
          </wp:inline>
        </w:drawing>
      </w:r>
    </w:p>
    <w:p w14:paraId="525C0475" w14:textId="56553083" w:rsidR="00132CF4" w:rsidRDefault="00132CF4">
      <w:pPr>
        <w:rPr>
          <w:rFonts w:ascii="Helvetica" w:hAnsi="Helvetica"/>
          <w:sz w:val="20"/>
          <w:szCs w:val="20"/>
        </w:rPr>
      </w:pPr>
    </w:p>
    <w:p w14:paraId="1D32F014" w14:textId="6B42409D" w:rsidR="00132CF4" w:rsidRDefault="00132CF4" w:rsidP="00132CF4">
      <w:pPr>
        <w:jc w:val="both"/>
        <w:rPr>
          <w:rFonts w:ascii="Helvetica" w:hAnsi="Helvetica"/>
          <w:sz w:val="20"/>
          <w:szCs w:val="20"/>
        </w:rPr>
      </w:pPr>
      <w:r>
        <w:rPr>
          <w:rFonts w:ascii="Helvetica" w:hAnsi="Helvetica"/>
          <w:sz w:val="20"/>
          <w:szCs w:val="20"/>
        </w:rPr>
        <w:t xml:space="preserve">Ex </w:t>
      </w:r>
      <w:proofErr w:type="spellStart"/>
      <w:r>
        <w:rPr>
          <w:rFonts w:ascii="Helvetica" w:hAnsi="Helvetica"/>
          <w:sz w:val="20"/>
          <w:szCs w:val="20"/>
        </w:rPr>
        <w:t>Libris</w:t>
      </w:r>
      <w:proofErr w:type="spellEnd"/>
      <w:r>
        <w:rPr>
          <w:rFonts w:ascii="Helvetica" w:hAnsi="Helvetica"/>
          <w:sz w:val="20"/>
          <w:szCs w:val="20"/>
        </w:rPr>
        <w:t xml:space="preserve"> considère ce nouvel éditeur comme achevé pour la partie gestion des notices. Des développements supplémentaires sont annoncés dans les prochaines versions pour des fonctions avancées (création de </w:t>
      </w:r>
      <w:proofErr w:type="spellStart"/>
      <w:r w:rsidRPr="00132CF4">
        <w:rPr>
          <w:rFonts w:ascii="Helvetica" w:hAnsi="Helvetica"/>
          <w:i/>
          <w:sz w:val="20"/>
          <w:szCs w:val="20"/>
        </w:rPr>
        <w:t>templates</w:t>
      </w:r>
      <w:proofErr w:type="spellEnd"/>
      <w:r>
        <w:rPr>
          <w:rFonts w:ascii="Helvetica" w:hAnsi="Helvetica"/>
          <w:sz w:val="20"/>
          <w:szCs w:val="20"/>
        </w:rPr>
        <w:t xml:space="preserve">, de règles de normalisation, etc.).  </w:t>
      </w:r>
    </w:p>
    <w:p w14:paraId="67B5B960" w14:textId="56602E5E" w:rsidR="00132CF4" w:rsidRDefault="00132CF4" w:rsidP="00132CF4">
      <w:pPr>
        <w:jc w:val="both"/>
        <w:rPr>
          <w:rFonts w:ascii="Helvetica" w:hAnsi="Helvetica"/>
          <w:sz w:val="20"/>
          <w:szCs w:val="20"/>
        </w:rPr>
      </w:pPr>
      <w:r>
        <w:rPr>
          <w:rFonts w:ascii="Helvetica" w:hAnsi="Helvetica"/>
          <w:sz w:val="20"/>
          <w:szCs w:val="20"/>
        </w:rPr>
        <w:t xml:space="preserve">Ce nouvel éditeur sera affiché par défaut pour tous les utilisateurs avec la version de janvier 2021. L’ancienne version disparaîtra début mars.  </w:t>
      </w:r>
    </w:p>
    <w:p w14:paraId="2E6FFF3C" w14:textId="77777777" w:rsidR="00132CF4" w:rsidRPr="002A2F7D" w:rsidRDefault="00132CF4">
      <w:pPr>
        <w:rPr>
          <w:rFonts w:ascii="Helvetica" w:hAnsi="Helvetica"/>
          <w:sz w:val="20"/>
          <w:szCs w:val="20"/>
        </w:rPr>
      </w:pPr>
    </w:p>
    <w:p w14:paraId="6F50C18E" w14:textId="77777777" w:rsidR="002A2F7D" w:rsidRPr="002A2F7D" w:rsidRDefault="002A2F7D">
      <w:pPr>
        <w:rPr>
          <w:rFonts w:ascii="Helvetica" w:hAnsi="Helvetica"/>
          <w:sz w:val="20"/>
          <w:szCs w:val="20"/>
        </w:rPr>
      </w:pPr>
    </w:p>
    <w:p w14:paraId="59900238" w14:textId="0DE04200" w:rsidR="0010575D" w:rsidRDefault="0010575D">
      <w:pPr>
        <w:rPr>
          <w:rFonts w:eastAsiaTheme="majorEastAsia" w:cstheme="majorBidi"/>
          <w:sz w:val="40"/>
          <w:szCs w:val="40"/>
        </w:rPr>
      </w:pPr>
      <w:r>
        <w:rPr>
          <w:sz w:val="40"/>
          <w:szCs w:val="40"/>
        </w:rPr>
        <w:br w:type="page"/>
      </w:r>
    </w:p>
    <w:p w14:paraId="7420B134" w14:textId="68891EB4" w:rsidR="0068052A" w:rsidRPr="0068052A" w:rsidRDefault="0068052A" w:rsidP="0068052A">
      <w:pPr>
        <w:pStyle w:val="Titre1"/>
        <w:jc w:val="both"/>
        <w:rPr>
          <w:rFonts w:asciiTheme="minorHAnsi" w:hAnsiTheme="minorHAnsi"/>
          <w:color w:val="auto"/>
          <w:sz w:val="40"/>
          <w:szCs w:val="40"/>
        </w:rPr>
      </w:pPr>
      <w:r>
        <w:rPr>
          <w:rFonts w:asciiTheme="minorHAnsi" w:hAnsiTheme="minorHAnsi"/>
          <w:color w:val="auto"/>
          <w:sz w:val="40"/>
          <w:szCs w:val="40"/>
        </w:rPr>
        <w:lastRenderedPageBreak/>
        <w:t>Circulation</w:t>
      </w:r>
    </w:p>
    <w:p w14:paraId="253B060A" w14:textId="77777777" w:rsidR="0068052A" w:rsidRPr="0068052A" w:rsidRDefault="0068052A" w:rsidP="0068052A">
      <w:pPr>
        <w:jc w:val="both"/>
      </w:pPr>
    </w:p>
    <w:p w14:paraId="646378A2" w14:textId="68F808FD" w:rsidR="0068052A" w:rsidRPr="0068052A" w:rsidRDefault="0068052A" w:rsidP="0068052A">
      <w:pPr>
        <w:pStyle w:val="Titre2"/>
        <w:rPr>
          <w:rFonts w:asciiTheme="minorHAnsi" w:eastAsia="Times New Roman" w:hAnsiTheme="minorHAnsi" w:cstheme="minorHAnsi"/>
          <w:color w:val="auto"/>
          <w:sz w:val="32"/>
          <w:lang w:eastAsia="fr-FR"/>
        </w:rPr>
      </w:pPr>
      <w:r>
        <w:rPr>
          <w:rFonts w:asciiTheme="minorHAnsi" w:eastAsia="Times New Roman" w:hAnsiTheme="minorHAnsi" w:cstheme="minorHAnsi"/>
          <w:color w:val="auto"/>
          <w:sz w:val="32"/>
          <w:lang w:eastAsia="fr-FR"/>
        </w:rPr>
        <w:t>S</w:t>
      </w:r>
      <w:r w:rsidR="00282501">
        <w:rPr>
          <w:rFonts w:asciiTheme="minorHAnsi" w:eastAsia="Times New Roman" w:hAnsiTheme="minorHAnsi" w:cstheme="minorHAnsi"/>
          <w:color w:val="auto"/>
          <w:sz w:val="32"/>
          <w:lang w:eastAsia="fr-FR"/>
        </w:rPr>
        <w:t>can simultané de plusieurs exemplaires</w:t>
      </w:r>
    </w:p>
    <w:p w14:paraId="2B2292CC" w14:textId="77777777" w:rsidR="00DB2D66" w:rsidRDefault="00282501" w:rsidP="00DB2D66">
      <w:pPr>
        <w:shd w:val="clear" w:color="auto" w:fill="FFFFFF"/>
        <w:jc w:val="both"/>
        <w:rPr>
          <w:rFonts w:ascii="Helvetica" w:eastAsia="Times New Roman" w:hAnsi="Helvetica" w:cs="Helvetica"/>
          <w:color w:val="000000"/>
          <w:sz w:val="20"/>
          <w:szCs w:val="20"/>
          <w:lang w:eastAsia="fr-FR"/>
        </w:rPr>
      </w:pPr>
      <w:r>
        <w:rPr>
          <w:rFonts w:ascii="Helvetica" w:eastAsia="Times New Roman" w:hAnsi="Helvetica" w:cs="Helvetica"/>
          <w:color w:val="000000"/>
          <w:sz w:val="20"/>
          <w:szCs w:val="20"/>
          <w:lang w:eastAsia="fr-FR"/>
        </w:rPr>
        <w:t xml:space="preserve">Lorsque le </w:t>
      </w:r>
      <w:r w:rsidRPr="00DB2D66">
        <w:rPr>
          <w:rFonts w:ascii="Helvetica" w:eastAsia="Times New Roman" w:hAnsi="Helvetica" w:cs="Helvetica"/>
          <w:color w:val="000000"/>
          <w:sz w:val="20"/>
          <w:szCs w:val="20"/>
          <w:lang w:eastAsia="fr-FR"/>
        </w:rPr>
        <w:t>paramètre «</w:t>
      </w:r>
      <w:r w:rsidR="0068052A" w:rsidRPr="00DB2D66">
        <w:rPr>
          <w:rFonts w:ascii="Helvetica" w:eastAsia="Times New Roman" w:hAnsi="Helvetica" w:cs="Helvetica"/>
          <w:color w:val="000000"/>
          <w:sz w:val="20"/>
          <w:szCs w:val="20"/>
          <w:lang w:eastAsia="fr-FR"/>
        </w:rPr>
        <w:t xml:space="preserve"> </w:t>
      </w:r>
      <w:r w:rsidRPr="00DB2D66">
        <w:rPr>
          <w:rFonts w:ascii="Helvetica" w:eastAsia="Times New Roman" w:hAnsi="Helvetica" w:cs="Helvetica"/>
          <w:color w:val="000000"/>
          <w:sz w:val="20"/>
          <w:szCs w:val="20"/>
          <w:lang w:eastAsia="fr-FR"/>
        </w:rPr>
        <w:t>Gérer plusieurs exemplaires » est activé au niveau du profil d’intégration d’une platine RFID</w:t>
      </w:r>
      <w:r w:rsidR="00DB2D66" w:rsidRPr="00DB2D66">
        <w:rPr>
          <w:rFonts w:ascii="Helvetica" w:eastAsia="Times New Roman" w:hAnsi="Helvetica" w:cs="Helvetica"/>
          <w:color w:val="000000"/>
          <w:sz w:val="20"/>
          <w:szCs w:val="20"/>
          <w:lang w:eastAsia="fr-FR"/>
        </w:rPr>
        <w:t>, la lecture simultanée de plusieurs exemplaires équipés de puces RFID est possible partout où des exemplaires peuvent être scannés :</w:t>
      </w:r>
      <w:r w:rsidR="00DB2D66">
        <w:rPr>
          <w:rFonts w:ascii="Helvetica" w:eastAsia="Times New Roman" w:hAnsi="Helvetica" w:cs="Helvetica"/>
          <w:color w:val="000000"/>
          <w:sz w:val="20"/>
          <w:szCs w:val="20"/>
          <w:lang w:eastAsia="fr-FR"/>
        </w:rPr>
        <w:t xml:space="preserve"> </w:t>
      </w:r>
    </w:p>
    <w:p w14:paraId="6866659D" w14:textId="57AD6CAA" w:rsidR="00DB2D66" w:rsidRDefault="00DB2D66" w:rsidP="00DB2D66">
      <w:pPr>
        <w:pStyle w:val="Paragraphedeliste"/>
        <w:numPr>
          <w:ilvl w:val="0"/>
          <w:numId w:val="16"/>
        </w:numPr>
        <w:shd w:val="clear" w:color="auto" w:fill="FFFFFF"/>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Fenêtre de prêt</w:t>
      </w:r>
    </w:p>
    <w:p w14:paraId="3B551925" w14:textId="0603DB0F" w:rsidR="00DB2D66" w:rsidRDefault="00DB2D66" w:rsidP="00DB2D66">
      <w:pPr>
        <w:pStyle w:val="Paragraphedeliste"/>
        <w:numPr>
          <w:ilvl w:val="0"/>
          <w:numId w:val="16"/>
        </w:numPr>
        <w:shd w:val="clear" w:color="auto" w:fill="FFFFFF"/>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Fenêtre de retour</w:t>
      </w:r>
    </w:p>
    <w:p w14:paraId="0240B4EB" w14:textId="77777777" w:rsidR="00DB2D66" w:rsidRDefault="00DB2D66" w:rsidP="00DB2D66">
      <w:pPr>
        <w:pStyle w:val="Paragraphedeliste"/>
        <w:numPr>
          <w:ilvl w:val="0"/>
          <w:numId w:val="16"/>
        </w:numPr>
        <w:shd w:val="clear" w:color="auto" w:fill="FFFFFF"/>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 xml:space="preserve">Fenêtre de scan des départements de traitement de la bibliothèque et du bureau de </w:t>
      </w:r>
      <w:proofErr w:type="spellStart"/>
      <w:r>
        <w:rPr>
          <w:rFonts w:ascii="Helvetica" w:eastAsia="Times New Roman" w:hAnsi="Helvetica" w:cstheme="minorHAnsi"/>
          <w:color w:val="000000"/>
          <w:sz w:val="20"/>
          <w:szCs w:val="20"/>
          <w:lang w:eastAsia="fr-FR"/>
        </w:rPr>
        <w:t>prê</w:t>
      </w:r>
      <w:proofErr w:type="spellEnd"/>
    </w:p>
    <w:p w14:paraId="1904D342" w14:textId="3E0D2F88" w:rsidR="00DB2D66" w:rsidRDefault="00DB2D66" w:rsidP="00DB2D66">
      <w:pPr>
        <w:shd w:val="clear" w:color="auto" w:fill="FFFFFF"/>
        <w:jc w:val="both"/>
        <w:rPr>
          <w:rFonts w:ascii="Helvetica" w:hAnsi="Helvetica"/>
          <w:sz w:val="20"/>
          <w:szCs w:val="20"/>
        </w:rPr>
      </w:pPr>
      <w:r w:rsidRPr="00DB2D66">
        <w:rPr>
          <w:rFonts w:ascii="Helvetica" w:hAnsi="Helvetica"/>
          <w:sz w:val="20"/>
          <w:szCs w:val="20"/>
        </w:rPr>
        <w:t>Lorsque</w:t>
      </w:r>
      <w:r>
        <w:rPr>
          <w:rFonts w:ascii="Helvetica" w:hAnsi="Helvetica"/>
          <w:sz w:val="20"/>
          <w:szCs w:val="20"/>
        </w:rPr>
        <w:t xml:space="preserve"> les exemplaires </w:t>
      </w:r>
      <w:r w:rsidR="00F55204">
        <w:rPr>
          <w:rFonts w:ascii="Helvetica" w:hAnsi="Helvetica"/>
          <w:sz w:val="20"/>
          <w:szCs w:val="20"/>
        </w:rPr>
        <w:t xml:space="preserve">sont </w:t>
      </w:r>
      <w:proofErr w:type="gramStart"/>
      <w:r w:rsidR="00F55204">
        <w:rPr>
          <w:rFonts w:ascii="Helvetica" w:hAnsi="Helvetica"/>
          <w:sz w:val="20"/>
          <w:szCs w:val="20"/>
        </w:rPr>
        <w:t>déposé</w:t>
      </w:r>
      <w:proofErr w:type="gramEnd"/>
      <w:r w:rsidR="00F55204">
        <w:rPr>
          <w:rFonts w:ascii="Helvetica" w:hAnsi="Helvetica"/>
          <w:sz w:val="20"/>
          <w:szCs w:val="20"/>
        </w:rPr>
        <w:t xml:space="preserve"> sur la platine</w:t>
      </w:r>
      <w:r>
        <w:rPr>
          <w:rFonts w:ascii="Helvetica" w:hAnsi="Helvetica"/>
          <w:sz w:val="20"/>
          <w:szCs w:val="20"/>
        </w:rPr>
        <w:t xml:space="preserve"> un récapitulatif apparaît sous la forme d’une fenêtre pop-up. Ce récapitulatif fait apparaître les exemplaires qui nécessitent une action de l’opérateur. </w:t>
      </w:r>
    </w:p>
    <w:p w14:paraId="2A5EEBC0" w14:textId="43B88E4F" w:rsidR="00DB2D66" w:rsidRDefault="00DB2D66" w:rsidP="00DB2D66">
      <w:pPr>
        <w:shd w:val="clear" w:color="auto" w:fill="FFFFFF"/>
        <w:jc w:val="both"/>
        <w:rPr>
          <w:rFonts w:ascii="Helvetica" w:hAnsi="Helvetica"/>
          <w:sz w:val="20"/>
          <w:szCs w:val="20"/>
        </w:rPr>
      </w:pPr>
      <w:r w:rsidRPr="00DB2D66">
        <w:rPr>
          <w:rFonts w:ascii="Helvetica" w:hAnsi="Helvetica"/>
          <w:noProof/>
          <w:sz w:val="20"/>
          <w:szCs w:val="20"/>
          <w:lang w:eastAsia="fr-FR"/>
        </w:rPr>
        <w:drawing>
          <wp:inline distT="0" distB="0" distL="0" distR="0" wp14:anchorId="73093476" wp14:editId="2F57203E">
            <wp:extent cx="5760720" cy="2451640"/>
            <wp:effectExtent l="0" t="0" r="0" b="63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451640"/>
                    </a:xfrm>
                    <a:prstGeom prst="rect">
                      <a:avLst/>
                    </a:prstGeom>
                    <a:noFill/>
                    <a:ln>
                      <a:noFill/>
                    </a:ln>
                  </pic:spPr>
                </pic:pic>
              </a:graphicData>
            </a:graphic>
          </wp:inline>
        </w:drawing>
      </w:r>
    </w:p>
    <w:p w14:paraId="1A2B2B8C" w14:textId="00DB0987" w:rsidR="00DB2D66" w:rsidRDefault="00DB2D66" w:rsidP="00DB2D66">
      <w:pPr>
        <w:shd w:val="clear" w:color="auto" w:fill="FFFFFF"/>
        <w:jc w:val="both"/>
        <w:rPr>
          <w:rFonts w:ascii="Helvetica" w:hAnsi="Helvetica"/>
          <w:sz w:val="20"/>
          <w:szCs w:val="20"/>
        </w:rPr>
      </w:pPr>
    </w:p>
    <w:p w14:paraId="6E093577" w14:textId="5412032A" w:rsidR="00DB2D66" w:rsidRDefault="00DB2D66" w:rsidP="00DB2D66">
      <w:pPr>
        <w:shd w:val="clear" w:color="auto" w:fill="FFFFFF"/>
        <w:jc w:val="both"/>
        <w:rPr>
          <w:rFonts w:ascii="Helvetica" w:hAnsi="Helvetica"/>
          <w:sz w:val="20"/>
          <w:szCs w:val="20"/>
        </w:rPr>
      </w:pPr>
      <w:r>
        <w:rPr>
          <w:rFonts w:ascii="Helvetica" w:hAnsi="Helvetica"/>
          <w:sz w:val="20"/>
          <w:szCs w:val="20"/>
        </w:rPr>
        <w:t xml:space="preserve">Pour ces exemplaires, l’opérateur est invité à confirmer l’opération ou à l’interrompre. Dans ce dernier cas, seul l’exemplaire en cause ne sera pas traité. Tous les autres le seront. </w:t>
      </w:r>
    </w:p>
    <w:p w14:paraId="68FB5F1B" w14:textId="17A8649F" w:rsidR="00DB2D66" w:rsidRDefault="00DB2D66" w:rsidP="00DB2D66">
      <w:pPr>
        <w:shd w:val="clear" w:color="auto" w:fill="FFFFFF"/>
        <w:jc w:val="both"/>
        <w:rPr>
          <w:rFonts w:ascii="Helvetica" w:hAnsi="Helvetica"/>
          <w:sz w:val="20"/>
          <w:szCs w:val="20"/>
        </w:rPr>
      </w:pPr>
      <w:r w:rsidRPr="00DB2D66">
        <w:rPr>
          <w:rFonts w:ascii="Helvetica" w:hAnsi="Helvetica"/>
          <w:noProof/>
          <w:sz w:val="20"/>
          <w:szCs w:val="20"/>
          <w:lang w:eastAsia="fr-FR"/>
        </w:rPr>
        <w:drawing>
          <wp:inline distT="0" distB="0" distL="0" distR="0" wp14:anchorId="64B3CA17" wp14:editId="6F042D73">
            <wp:extent cx="5760720" cy="2253967"/>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253967"/>
                    </a:xfrm>
                    <a:prstGeom prst="rect">
                      <a:avLst/>
                    </a:prstGeom>
                    <a:noFill/>
                    <a:ln>
                      <a:noFill/>
                    </a:ln>
                  </pic:spPr>
                </pic:pic>
              </a:graphicData>
            </a:graphic>
          </wp:inline>
        </w:drawing>
      </w:r>
    </w:p>
    <w:p w14:paraId="421F3BAB" w14:textId="77777777" w:rsidR="00DB2D66" w:rsidRDefault="00DB2D66" w:rsidP="00DB2D66">
      <w:pPr>
        <w:shd w:val="clear" w:color="auto" w:fill="FFFFFF"/>
        <w:jc w:val="both"/>
        <w:rPr>
          <w:rFonts w:ascii="Helvetica" w:hAnsi="Helvetica"/>
          <w:sz w:val="20"/>
          <w:szCs w:val="20"/>
        </w:rPr>
      </w:pPr>
    </w:p>
    <w:p w14:paraId="22ED0640" w14:textId="77777777" w:rsidR="00F55204" w:rsidRDefault="00DB2D66" w:rsidP="00DB2D66">
      <w:pPr>
        <w:shd w:val="clear" w:color="auto" w:fill="FFFFFF"/>
        <w:jc w:val="both"/>
        <w:rPr>
          <w:rFonts w:ascii="Helvetica" w:hAnsi="Helvetica"/>
          <w:sz w:val="20"/>
          <w:szCs w:val="20"/>
        </w:rPr>
      </w:pPr>
      <w:r>
        <w:rPr>
          <w:rFonts w:ascii="Helvetica" w:hAnsi="Helvetica"/>
          <w:sz w:val="20"/>
          <w:szCs w:val="20"/>
        </w:rPr>
        <w:t>A l’issue de l’opération, un nouveau message récapitulatif apparaît</w:t>
      </w:r>
      <w:r w:rsidR="00F55204">
        <w:rPr>
          <w:rFonts w:ascii="Helvetica" w:hAnsi="Helvetica"/>
          <w:sz w:val="20"/>
          <w:szCs w:val="20"/>
        </w:rPr>
        <w:t xml:space="preserve">. Y sont listés les exemplaires qui n’ont pu être traités. </w:t>
      </w:r>
    </w:p>
    <w:p w14:paraId="19A63E4F" w14:textId="6EF5EBBC" w:rsidR="00F55204" w:rsidRDefault="00F55204" w:rsidP="00DB2D66">
      <w:pPr>
        <w:shd w:val="clear" w:color="auto" w:fill="FFFFFF"/>
        <w:jc w:val="both"/>
        <w:rPr>
          <w:rFonts w:ascii="Helvetica" w:hAnsi="Helvetica"/>
          <w:sz w:val="20"/>
          <w:szCs w:val="20"/>
        </w:rPr>
      </w:pPr>
      <w:r w:rsidRPr="00F55204">
        <w:rPr>
          <w:rFonts w:ascii="Helvetica" w:hAnsi="Helvetica"/>
          <w:noProof/>
          <w:sz w:val="20"/>
          <w:szCs w:val="20"/>
          <w:lang w:eastAsia="fr-FR"/>
        </w:rPr>
        <w:lastRenderedPageBreak/>
        <w:drawing>
          <wp:inline distT="0" distB="0" distL="0" distR="0" wp14:anchorId="47CFD5C4" wp14:editId="363485D2">
            <wp:extent cx="5760720" cy="2636905"/>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2636905"/>
                    </a:xfrm>
                    <a:prstGeom prst="rect">
                      <a:avLst/>
                    </a:prstGeom>
                    <a:noFill/>
                    <a:ln>
                      <a:noFill/>
                    </a:ln>
                  </pic:spPr>
                </pic:pic>
              </a:graphicData>
            </a:graphic>
          </wp:inline>
        </w:drawing>
      </w:r>
    </w:p>
    <w:p w14:paraId="37E68BAA" w14:textId="77777777" w:rsidR="00F55204" w:rsidRDefault="00F55204" w:rsidP="00DB2D66">
      <w:pPr>
        <w:shd w:val="clear" w:color="auto" w:fill="FFFFFF"/>
        <w:jc w:val="both"/>
        <w:rPr>
          <w:rFonts w:ascii="Helvetica" w:hAnsi="Helvetica"/>
          <w:sz w:val="20"/>
          <w:szCs w:val="20"/>
        </w:rPr>
      </w:pPr>
    </w:p>
    <w:p w14:paraId="7DA04B72" w14:textId="77777777" w:rsidR="00F55204" w:rsidRDefault="00DB2D66" w:rsidP="00DB2D66">
      <w:pPr>
        <w:shd w:val="clear" w:color="auto" w:fill="FFFFFF"/>
        <w:jc w:val="both"/>
        <w:rPr>
          <w:rFonts w:ascii="Helvetica" w:hAnsi="Helvetica"/>
          <w:sz w:val="20"/>
          <w:szCs w:val="20"/>
        </w:rPr>
      </w:pPr>
      <w:r>
        <w:rPr>
          <w:rFonts w:ascii="Helvetica" w:hAnsi="Helvetica"/>
          <w:sz w:val="20"/>
          <w:szCs w:val="20"/>
        </w:rPr>
        <w:t xml:space="preserve"> </w:t>
      </w:r>
      <w:r w:rsidR="00F55204">
        <w:rPr>
          <w:rFonts w:ascii="Helvetica" w:hAnsi="Helvetica"/>
          <w:sz w:val="20"/>
          <w:szCs w:val="20"/>
        </w:rPr>
        <w:t xml:space="preserve">Cette fonctionnalité est compatible avec tous les fournisseurs RFID compatibles avec Alma. Toutefois, elle n’est utilisable pour </w:t>
      </w:r>
      <w:proofErr w:type="spellStart"/>
      <w:r w:rsidR="00F55204">
        <w:rPr>
          <w:rFonts w:ascii="Helvetica" w:hAnsi="Helvetica"/>
          <w:sz w:val="20"/>
          <w:szCs w:val="20"/>
        </w:rPr>
        <w:t>Bibliotheca</w:t>
      </w:r>
      <w:proofErr w:type="spellEnd"/>
      <w:r w:rsidR="00F55204">
        <w:rPr>
          <w:rFonts w:ascii="Helvetica" w:hAnsi="Helvetica"/>
          <w:sz w:val="20"/>
          <w:szCs w:val="20"/>
        </w:rPr>
        <w:t xml:space="preserve"> que si </w:t>
      </w:r>
      <w:proofErr w:type="spellStart"/>
      <w:r w:rsidR="00F55204">
        <w:rPr>
          <w:rFonts w:ascii="Helvetica" w:hAnsi="Helvetica"/>
          <w:sz w:val="20"/>
          <w:szCs w:val="20"/>
        </w:rPr>
        <w:t>staffConnect</w:t>
      </w:r>
      <w:proofErr w:type="spellEnd"/>
      <w:r w:rsidR="00F55204">
        <w:rPr>
          <w:rFonts w:ascii="Helvetica" w:hAnsi="Helvetica"/>
          <w:sz w:val="20"/>
          <w:szCs w:val="20"/>
        </w:rPr>
        <w:t xml:space="preserve"> Link et D-Tech sont utilisés par la bibliothèque</w:t>
      </w:r>
      <w:r>
        <w:rPr>
          <w:rFonts w:ascii="Helvetica" w:hAnsi="Helvetica"/>
          <w:sz w:val="20"/>
          <w:szCs w:val="20"/>
        </w:rPr>
        <w:t>.</w:t>
      </w:r>
    </w:p>
    <w:p w14:paraId="34B4F4FB" w14:textId="77777777" w:rsidR="009957B3" w:rsidRDefault="00F55204" w:rsidP="00DB2D66">
      <w:pPr>
        <w:shd w:val="clear" w:color="auto" w:fill="FFFFFF"/>
        <w:jc w:val="both"/>
        <w:rPr>
          <w:rFonts w:ascii="Helvetica" w:hAnsi="Helvetica"/>
          <w:sz w:val="20"/>
          <w:szCs w:val="20"/>
        </w:rPr>
      </w:pPr>
      <w:r>
        <w:rPr>
          <w:rFonts w:ascii="Helvetica" w:hAnsi="Helvetica"/>
          <w:i/>
          <w:sz w:val="20"/>
          <w:szCs w:val="20"/>
        </w:rPr>
        <w:t xml:space="preserve">Nota bene : </w:t>
      </w:r>
      <w:r>
        <w:rPr>
          <w:rFonts w:ascii="Helvetica" w:hAnsi="Helvetica"/>
          <w:sz w:val="20"/>
          <w:szCs w:val="20"/>
        </w:rPr>
        <w:t xml:space="preserve">cette fonctionnalité n’a pas pu être testée. </w:t>
      </w:r>
    </w:p>
    <w:p w14:paraId="6676ED1F" w14:textId="39FC4FD5" w:rsidR="009957B3" w:rsidRDefault="009957B3" w:rsidP="00DB2D66">
      <w:pPr>
        <w:shd w:val="clear" w:color="auto" w:fill="FFFFFF"/>
        <w:jc w:val="both"/>
        <w:rPr>
          <w:rFonts w:ascii="Helvetica" w:hAnsi="Helvetica"/>
          <w:sz w:val="20"/>
          <w:szCs w:val="20"/>
        </w:rPr>
      </w:pPr>
    </w:p>
    <w:p w14:paraId="1F8F6770" w14:textId="77777777" w:rsidR="009957B3" w:rsidRDefault="009957B3" w:rsidP="00DB2D66">
      <w:pPr>
        <w:shd w:val="clear" w:color="auto" w:fill="FFFFFF"/>
        <w:jc w:val="both"/>
        <w:rPr>
          <w:rFonts w:ascii="Helvetica" w:hAnsi="Helvetica"/>
          <w:sz w:val="20"/>
          <w:szCs w:val="20"/>
        </w:rPr>
      </w:pPr>
    </w:p>
    <w:p w14:paraId="6CCF4F98" w14:textId="071DD7AA" w:rsidR="009957B3" w:rsidRPr="0068052A" w:rsidRDefault="009957B3" w:rsidP="009957B3">
      <w:pPr>
        <w:pStyle w:val="Titre2"/>
        <w:rPr>
          <w:rFonts w:asciiTheme="minorHAnsi" w:eastAsia="Times New Roman" w:hAnsiTheme="minorHAnsi" w:cstheme="minorHAnsi"/>
          <w:color w:val="auto"/>
          <w:sz w:val="32"/>
          <w:lang w:eastAsia="fr-FR"/>
        </w:rPr>
      </w:pPr>
      <w:r>
        <w:rPr>
          <w:rFonts w:asciiTheme="minorHAnsi" w:eastAsia="Times New Roman" w:hAnsiTheme="minorHAnsi" w:cstheme="minorHAnsi"/>
          <w:color w:val="auto"/>
          <w:sz w:val="32"/>
          <w:lang w:eastAsia="fr-FR"/>
        </w:rPr>
        <w:t>Messages d’erreur pour les renouvellements</w:t>
      </w:r>
    </w:p>
    <w:p w14:paraId="2AF6F603" w14:textId="381729B4" w:rsidR="009957B3" w:rsidRDefault="009957B3" w:rsidP="00DB2D66">
      <w:pPr>
        <w:shd w:val="clear" w:color="auto" w:fill="FFFFFF"/>
        <w:jc w:val="both"/>
        <w:rPr>
          <w:rFonts w:ascii="Helvetica" w:hAnsi="Helvetica"/>
          <w:sz w:val="20"/>
          <w:szCs w:val="20"/>
        </w:rPr>
      </w:pPr>
      <w:r>
        <w:rPr>
          <w:rFonts w:ascii="Helvetica" w:hAnsi="Helvetica"/>
          <w:sz w:val="20"/>
          <w:szCs w:val="20"/>
        </w:rPr>
        <w:t xml:space="preserve">Lorsqu’un renouvellement est impossible parce que la nouvelle date de retour tomberait à une date postérieure à la date d’expiration du dossier, un nouveau message spécifique apparaît. </w:t>
      </w:r>
    </w:p>
    <w:p w14:paraId="73065170" w14:textId="79B1898E" w:rsidR="00732813" w:rsidRPr="00DB2D66" w:rsidRDefault="00DB2D66" w:rsidP="00DB2D66">
      <w:pPr>
        <w:shd w:val="clear" w:color="auto" w:fill="FFFFFF"/>
        <w:jc w:val="both"/>
        <w:rPr>
          <w:rFonts w:ascii="Helvetica" w:eastAsia="Times New Roman" w:hAnsi="Helvetica" w:cstheme="minorHAnsi"/>
          <w:color w:val="000000"/>
          <w:sz w:val="20"/>
          <w:szCs w:val="20"/>
          <w:lang w:eastAsia="fr-FR"/>
        </w:rPr>
      </w:pPr>
      <w:r>
        <w:rPr>
          <w:rFonts w:ascii="Helvetica" w:hAnsi="Helvetica"/>
          <w:sz w:val="20"/>
          <w:szCs w:val="20"/>
        </w:rPr>
        <w:t xml:space="preserve"> </w:t>
      </w:r>
      <w:r w:rsidR="00732813" w:rsidRPr="00DB2D66">
        <w:rPr>
          <w:rFonts w:ascii="Helvetica" w:hAnsi="Helvetica"/>
          <w:sz w:val="20"/>
          <w:szCs w:val="20"/>
        </w:rPr>
        <w:br w:type="page"/>
      </w:r>
    </w:p>
    <w:p w14:paraId="3A36B3B1" w14:textId="48B8C264" w:rsidR="000E6664" w:rsidRDefault="001363FA" w:rsidP="000E6664">
      <w:pPr>
        <w:pStyle w:val="Titre1"/>
        <w:jc w:val="both"/>
        <w:rPr>
          <w:rFonts w:asciiTheme="minorHAnsi" w:hAnsiTheme="minorHAnsi"/>
          <w:color w:val="auto"/>
          <w:sz w:val="40"/>
          <w:szCs w:val="40"/>
        </w:rPr>
      </w:pPr>
      <w:r>
        <w:rPr>
          <w:rFonts w:asciiTheme="minorHAnsi" w:hAnsiTheme="minorHAnsi"/>
          <w:color w:val="auto"/>
          <w:sz w:val="40"/>
          <w:szCs w:val="40"/>
        </w:rPr>
        <w:lastRenderedPageBreak/>
        <w:t xml:space="preserve">Alma </w:t>
      </w:r>
      <w:proofErr w:type="spellStart"/>
      <w:r>
        <w:rPr>
          <w:rFonts w:asciiTheme="minorHAnsi" w:hAnsiTheme="minorHAnsi"/>
          <w:color w:val="auto"/>
          <w:sz w:val="40"/>
          <w:szCs w:val="40"/>
        </w:rPr>
        <w:t>Analytics</w:t>
      </w:r>
      <w:proofErr w:type="spellEnd"/>
    </w:p>
    <w:p w14:paraId="5F986198" w14:textId="77777777" w:rsidR="000E6664" w:rsidRDefault="000E6664" w:rsidP="000E6664">
      <w:pPr>
        <w:jc w:val="both"/>
      </w:pPr>
    </w:p>
    <w:p w14:paraId="73E4EB51" w14:textId="7A5A8D0B" w:rsidR="000E6664" w:rsidRPr="003A7E2C" w:rsidRDefault="005677A0" w:rsidP="000E6664">
      <w:pPr>
        <w:pStyle w:val="Titre2"/>
        <w:jc w:val="both"/>
        <w:rPr>
          <w:rFonts w:asciiTheme="minorHAnsi" w:hAnsiTheme="minorHAnsi"/>
          <w:color w:val="auto"/>
          <w:sz w:val="32"/>
        </w:rPr>
      </w:pPr>
      <w:r>
        <w:rPr>
          <w:rFonts w:asciiTheme="minorHAnsi" w:hAnsiTheme="minorHAnsi"/>
          <w:color w:val="auto"/>
          <w:sz w:val="32"/>
        </w:rPr>
        <w:t>Evolution de l’architecture</w:t>
      </w:r>
    </w:p>
    <w:p w14:paraId="40C1A81B" w14:textId="1CF15E4E" w:rsidR="001419AC" w:rsidRDefault="001419AC" w:rsidP="00D53188">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La migration d’Oracle Business Intelligence Enterprise Edition (OBIEE), le logiciel actuellement utilisé sous le nom commercial d’Alma </w:t>
      </w:r>
      <w:proofErr w:type="spellStart"/>
      <w:r>
        <w:rPr>
          <w:rFonts w:ascii="Helvetica" w:hAnsi="Helvetica"/>
          <w:color w:val="000000"/>
          <w:sz w:val="20"/>
          <w:szCs w:val="18"/>
          <w:shd w:val="clear" w:color="auto" w:fill="FFFFFF"/>
        </w:rPr>
        <w:t>Analytics</w:t>
      </w:r>
      <w:proofErr w:type="spellEnd"/>
      <w:r>
        <w:rPr>
          <w:rFonts w:ascii="Helvetica" w:hAnsi="Helvetica"/>
          <w:color w:val="000000"/>
          <w:sz w:val="20"/>
          <w:szCs w:val="18"/>
          <w:shd w:val="clear" w:color="auto" w:fill="FFFFFF"/>
        </w:rPr>
        <w:t>, vers un nouveau produit, b</w:t>
      </w:r>
      <w:r w:rsidR="004764E5">
        <w:rPr>
          <w:rFonts w:ascii="Helvetica" w:hAnsi="Helvetica"/>
          <w:color w:val="000000"/>
          <w:sz w:val="20"/>
          <w:szCs w:val="18"/>
          <w:shd w:val="clear" w:color="auto" w:fill="FFFFFF"/>
        </w:rPr>
        <w:t xml:space="preserve">aptisé Oracle </w:t>
      </w:r>
      <w:proofErr w:type="spellStart"/>
      <w:r w:rsidR="004764E5">
        <w:rPr>
          <w:rFonts w:ascii="Helvetica" w:hAnsi="Helvetica"/>
          <w:color w:val="000000"/>
          <w:sz w:val="20"/>
          <w:szCs w:val="18"/>
          <w:shd w:val="clear" w:color="auto" w:fill="FFFFFF"/>
        </w:rPr>
        <w:t>Analytics</w:t>
      </w:r>
      <w:proofErr w:type="spellEnd"/>
      <w:r w:rsidR="004764E5">
        <w:rPr>
          <w:rFonts w:ascii="Helvetica" w:hAnsi="Helvetica"/>
          <w:color w:val="000000"/>
          <w:sz w:val="20"/>
          <w:szCs w:val="18"/>
          <w:shd w:val="clear" w:color="auto" w:fill="FFFFFF"/>
        </w:rPr>
        <w:t xml:space="preserve"> Server est désormais fixée pour la période qui va du 11 au 18 octobre 2020. </w:t>
      </w:r>
    </w:p>
    <w:p w14:paraId="72BBA396" w14:textId="26AC4303" w:rsidR="004764E5" w:rsidRDefault="006C1C8C" w:rsidP="00D53188">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Pour rappel</w:t>
      </w:r>
      <w:r w:rsidR="004764E5">
        <w:rPr>
          <w:rFonts w:ascii="Helvetica" w:hAnsi="Helvetica"/>
          <w:color w:val="000000"/>
          <w:sz w:val="20"/>
          <w:szCs w:val="18"/>
          <w:shd w:val="clear" w:color="auto" w:fill="FFFFFF"/>
        </w:rPr>
        <w:t xml:space="preserve">, Alma </w:t>
      </w:r>
      <w:proofErr w:type="spellStart"/>
      <w:r w:rsidR="004764E5">
        <w:rPr>
          <w:rFonts w:ascii="Helvetica" w:hAnsi="Helvetica"/>
          <w:color w:val="000000"/>
          <w:sz w:val="20"/>
          <w:szCs w:val="18"/>
          <w:shd w:val="clear" w:color="auto" w:fill="FFFFFF"/>
        </w:rPr>
        <w:t>Analytics</w:t>
      </w:r>
      <w:proofErr w:type="spellEnd"/>
      <w:r w:rsidR="004764E5">
        <w:rPr>
          <w:rFonts w:ascii="Helvetica" w:hAnsi="Helvetica"/>
          <w:color w:val="000000"/>
          <w:sz w:val="20"/>
          <w:szCs w:val="18"/>
          <w:shd w:val="clear" w:color="auto" w:fill="FFFFFF"/>
        </w:rPr>
        <w:t xml:space="preserve"> restera utilisable durant toute cette période, mais aucun rapport ne pourra être migré. </w:t>
      </w:r>
    </w:p>
    <w:p w14:paraId="6E0ACC70" w14:textId="4711F18F" w:rsidR="001419AC" w:rsidRDefault="004764E5" w:rsidP="00D53188">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Les rapports déjà créés seront migrés sans intervention des administrateurs s’ils sont dans le dossier partagé ABES – Toulouse COMUE. En revanche, les rapports présents dans les espaces personnels y devront être copiés pour pouvoir être migrés. Cette copie devra être effectuée par chacun dans un dossier nominatif créé à cette fin par le SICD, avant le 1</w:t>
      </w:r>
      <w:r w:rsidRPr="004764E5">
        <w:rPr>
          <w:rFonts w:ascii="Helvetica" w:hAnsi="Helvetica"/>
          <w:color w:val="000000"/>
          <w:sz w:val="20"/>
          <w:szCs w:val="18"/>
          <w:shd w:val="clear" w:color="auto" w:fill="FFFFFF"/>
          <w:vertAlign w:val="superscript"/>
        </w:rPr>
        <w:t>er</w:t>
      </w:r>
      <w:r>
        <w:rPr>
          <w:rFonts w:ascii="Helvetica" w:hAnsi="Helvetica"/>
          <w:color w:val="000000"/>
          <w:sz w:val="20"/>
          <w:szCs w:val="18"/>
          <w:shd w:val="clear" w:color="auto" w:fill="FFFFFF"/>
        </w:rPr>
        <w:t xml:space="preserve"> octobre. Le SICD n’accède pas aux espaces personnels de stockage et ne pourra donc pas prendre à sa charge cette copie ou ce transfert de requêtes. </w:t>
      </w:r>
      <w:r w:rsidR="005B6944">
        <w:rPr>
          <w:rFonts w:ascii="Helvetica" w:hAnsi="Helvetica"/>
          <w:color w:val="000000"/>
          <w:sz w:val="20"/>
          <w:szCs w:val="18"/>
          <w:shd w:val="clear" w:color="auto" w:fill="FFFFFF"/>
        </w:rPr>
        <w:t xml:space="preserve"> </w:t>
      </w:r>
      <w:r w:rsidR="001419AC">
        <w:rPr>
          <w:rFonts w:ascii="Helvetica" w:hAnsi="Helvetica"/>
          <w:color w:val="000000"/>
          <w:sz w:val="20"/>
          <w:szCs w:val="18"/>
          <w:shd w:val="clear" w:color="auto" w:fill="FFFFFF"/>
        </w:rPr>
        <w:t xml:space="preserve"> </w:t>
      </w:r>
    </w:p>
    <w:p w14:paraId="2A93E7BB" w14:textId="36987A47" w:rsidR="00554029" w:rsidRDefault="00554029" w:rsidP="00D53188">
      <w:pPr>
        <w:jc w:val="both"/>
        <w:rPr>
          <w:rFonts w:ascii="Helvetica" w:hAnsi="Helvetica"/>
          <w:color w:val="000000"/>
          <w:sz w:val="20"/>
          <w:szCs w:val="18"/>
          <w:shd w:val="clear" w:color="auto" w:fill="FFFFFF"/>
        </w:rPr>
      </w:pPr>
    </w:p>
    <w:p w14:paraId="4D223B43" w14:textId="3BC3CE89" w:rsidR="001363FA" w:rsidRDefault="001363FA" w:rsidP="00D53188">
      <w:pPr>
        <w:jc w:val="both"/>
        <w:rPr>
          <w:rFonts w:ascii="Helvetica" w:hAnsi="Helvetica"/>
          <w:color w:val="000000"/>
          <w:sz w:val="20"/>
          <w:szCs w:val="18"/>
          <w:shd w:val="clear" w:color="auto" w:fill="FFFFFF"/>
        </w:rPr>
      </w:pPr>
    </w:p>
    <w:bookmarkEnd w:id="0"/>
    <w:bookmarkEnd w:id="5"/>
    <w:p w14:paraId="3BB43EC0" w14:textId="022DA196" w:rsidR="00D808A9" w:rsidRPr="000F613D" w:rsidRDefault="00D808A9" w:rsidP="000F613D">
      <w:pPr>
        <w:jc w:val="both"/>
        <w:rPr>
          <w:rFonts w:ascii="Helvetica" w:hAnsi="Helvetica"/>
          <w:color w:val="000000"/>
          <w:sz w:val="20"/>
          <w:szCs w:val="18"/>
          <w:shd w:val="clear" w:color="auto" w:fill="FFFFFF"/>
        </w:rPr>
      </w:pPr>
    </w:p>
    <w:sectPr w:rsidR="00D808A9" w:rsidRPr="000F613D">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251FE" w14:textId="77777777" w:rsidR="00993E0B" w:rsidRDefault="00993E0B" w:rsidP="0000222F">
      <w:pPr>
        <w:spacing w:after="0" w:line="240" w:lineRule="auto"/>
      </w:pPr>
      <w:r>
        <w:separator/>
      </w:r>
    </w:p>
  </w:endnote>
  <w:endnote w:type="continuationSeparator" w:id="0">
    <w:p w14:paraId="524DF605" w14:textId="77777777" w:rsidR="00993E0B" w:rsidRDefault="00993E0B" w:rsidP="000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06716"/>
      <w:docPartObj>
        <w:docPartGallery w:val="Page Numbers (Bottom of Page)"/>
        <w:docPartUnique/>
      </w:docPartObj>
    </w:sdtPr>
    <w:sdtEndPr/>
    <w:sdtContent>
      <w:p w14:paraId="65BB0FCF" w14:textId="0B6867E9" w:rsidR="00347DAF" w:rsidRDefault="00347DAF">
        <w:pPr>
          <w:pStyle w:val="Pieddepage"/>
          <w:jc w:val="right"/>
        </w:pPr>
        <w:r w:rsidRPr="004B003B">
          <w:rPr>
            <w:rFonts w:ascii="Constantia" w:hAnsi="Constantia"/>
            <w:sz w:val="24"/>
          </w:rPr>
          <w:fldChar w:fldCharType="begin"/>
        </w:r>
        <w:r w:rsidRPr="004B003B">
          <w:rPr>
            <w:rFonts w:ascii="Constantia" w:hAnsi="Constantia"/>
            <w:sz w:val="24"/>
          </w:rPr>
          <w:instrText>PAGE   \* MERGEFORMAT</w:instrText>
        </w:r>
        <w:r w:rsidRPr="004B003B">
          <w:rPr>
            <w:rFonts w:ascii="Constantia" w:hAnsi="Constantia"/>
            <w:sz w:val="24"/>
          </w:rPr>
          <w:fldChar w:fldCharType="separate"/>
        </w:r>
        <w:r w:rsidR="00017DB4">
          <w:rPr>
            <w:rFonts w:ascii="Constantia" w:hAnsi="Constantia"/>
            <w:noProof/>
            <w:sz w:val="24"/>
          </w:rPr>
          <w:t>7</w:t>
        </w:r>
        <w:r w:rsidRPr="004B003B">
          <w:rPr>
            <w:rFonts w:ascii="Constantia" w:hAnsi="Constantia"/>
            <w:sz w:val="24"/>
          </w:rPr>
          <w:fldChar w:fldCharType="end"/>
        </w:r>
      </w:p>
    </w:sdtContent>
  </w:sdt>
  <w:p w14:paraId="545A5A6E" w14:textId="77777777" w:rsidR="00347DAF" w:rsidRPr="0000222F" w:rsidRDefault="00347DAF">
    <w:pPr>
      <w:pStyle w:val="Pieddepage"/>
      <w:rPr>
        <w:rFonts w:ascii="Constantia" w:hAnsi="Constant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3513E" w14:textId="77777777" w:rsidR="00993E0B" w:rsidRDefault="00993E0B" w:rsidP="0000222F">
      <w:pPr>
        <w:spacing w:after="0" w:line="240" w:lineRule="auto"/>
      </w:pPr>
      <w:r>
        <w:separator/>
      </w:r>
    </w:p>
  </w:footnote>
  <w:footnote w:type="continuationSeparator" w:id="0">
    <w:p w14:paraId="643C20CE" w14:textId="77777777" w:rsidR="00993E0B" w:rsidRDefault="00993E0B" w:rsidP="0000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F0BC2" w14:textId="70A57D67" w:rsidR="00347DAF" w:rsidRDefault="00347DAF">
    <w:pPr>
      <w:spacing w:line="264" w:lineRule="auto"/>
    </w:pPr>
    <w:r>
      <w:rPr>
        <w:noProof/>
        <w:color w:val="000000"/>
        <w:lang w:eastAsia="fr-FR"/>
      </w:rPr>
      <mc:AlternateContent>
        <mc:Choice Requires="wps">
          <w:drawing>
            <wp:anchor distT="0" distB="0" distL="114300" distR="114300" simplePos="0" relativeHeight="251659264" behindDoc="0" locked="0" layoutInCell="1" allowOverlap="1" wp14:anchorId="13A9BC82" wp14:editId="71B18830">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4AAA10"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Constantia" w:hAnsi="Constantia"/>
          <w:color w:val="000000" w:themeColor="text1"/>
          <w:sz w:val="20"/>
          <w:szCs w:val="20"/>
        </w:rPr>
        <w:alias w:val="Titre"/>
        <w:id w:val="15524250"/>
        <w:placeholder>
          <w:docPart w:val="1F140EDFA42749DCA90E4D7A91410D16"/>
        </w:placeholder>
        <w:dataBinding w:prefixMappings="xmlns:ns0='http://schemas.openxmlformats.org/package/2006/metadata/core-properties' xmlns:ns1='http://purl.org/dc/elements/1.1/'" w:xpath="/ns0:coreProperties[1]/ns1:title[1]" w:storeItemID="{6C3C8BC8-F283-45AE-878A-BAB7291924A1}"/>
        <w:text/>
      </w:sdtPr>
      <w:sdtEndPr/>
      <w:sdtContent>
        <w:r w:rsidR="0068052A">
          <w:rPr>
            <w:rFonts w:ascii="Constantia" w:hAnsi="Constantia"/>
            <w:color w:val="000000" w:themeColor="text1"/>
            <w:sz w:val="20"/>
            <w:szCs w:val="20"/>
          </w:rPr>
          <w:t>Note de version Alma – Septembre 2020</w:t>
        </w:r>
      </w:sdtContent>
    </w:sdt>
  </w:p>
  <w:p w14:paraId="09C2C149" w14:textId="77777777" w:rsidR="00347DAF" w:rsidRDefault="00347DA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75F"/>
    <w:multiLevelType w:val="hybridMultilevel"/>
    <w:tmpl w:val="283291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652AB4"/>
    <w:multiLevelType w:val="hybridMultilevel"/>
    <w:tmpl w:val="F0F805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8B495F"/>
    <w:multiLevelType w:val="hybridMultilevel"/>
    <w:tmpl w:val="201E9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410265"/>
    <w:multiLevelType w:val="hybridMultilevel"/>
    <w:tmpl w:val="34CE2C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506166"/>
    <w:multiLevelType w:val="multilevel"/>
    <w:tmpl w:val="ABF092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CD6B0E"/>
    <w:multiLevelType w:val="hybridMultilevel"/>
    <w:tmpl w:val="8A20847A"/>
    <w:lvl w:ilvl="0" w:tplc="040C0005">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6" w15:restartNumberingAfterBreak="0">
    <w:nsid w:val="196F7037"/>
    <w:multiLevelType w:val="hybridMultilevel"/>
    <w:tmpl w:val="52E446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6C3C6D"/>
    <w:multiLevelType w:val="hybridMultilevel"/>
    <w:tmpl w:val="D5F002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973FCD"/>
    <w:multiLevelType w:val="hybridMultilevel"/>
    <w:tmpl w:val="96CA59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C5365E"/>
    <w:multiLevelType w:val="multilevel"/>
    <w:tmpl w:val="CD7A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1E0A77"/>
    <w:multiLevelType w:val="hybridMultilevel"/>
    <w:tmpl w:val="3556A506"/>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3B3F2291"/>
    <w:multiLevelType w:val="hybridMultilevel"/>
    <w:tmpl w:val="923EFD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525CC4"/>
    <w:multiLevelType w:val="hybridMultilevel"/>
    <w:tmpl w:val="31F043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89111D"/>
    <w:multiLevelType w:val="hybridMultilevel"/>
    <w:tmpl w:val="F8B8483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39B4A95"/>
    <w:multiLevelType w:val="hybridMultilevel"/>
    <w:tmpl w:val="DAD83E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533801"/>
    <w:multiLevelType w:val="hybridMultilevel"/>
    <w:tmpl w:val="9E38588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E350C7F"/>
    <w:multiLevelType w:val="hybridMultilevel"/>
    <w:tmpl w:val="3D7A04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13119A"/>
    <w:multiLevelType w:val="hybridMultilevel"/>
    <w:tmpl w:val="F7FAD108"/>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8" w15:restartNumberingAfterBreak="0">
    <w:nsid w:val="5DA26BB3"/>
    <w:multiLevelType w:val="hybridMultilevel"/>
    <w:tmpl w:val="16E225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8A38C7"/>
    <w:multiLevelType w:val="hybridMultilevel"/>
    <w:tmpl w:val="D2A6A512"/>
    <w:lvl w:ilvl="0" w:tplc="419EB20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0" w15:restartNumberingAfterBreak="0">
    <w:nsid w:val="67091BC3"/>
    <w:multiLevelType w:val="multilevel"/>
    <w:tmpl w:val="9D3C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FE2B39"/>
    <w:multiLevelType w:val="hybridMultilevel"/>
    <w:tmpl w:val="26EE00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1"/>
  </w:num>
  <w:num w:numId="4">
    <w:abstractNumId w:val="0"/>
  </w:num>
  <w:num w:numId="5">
    <w:abstractNumId w:val="16"/>
  </w:num>
  <w:num w:numId="6">
    <w:abstractNumId w:val="8"/>
  </w:num>
  <w:num w:numId="7">
    <w:abstractNumId w:val="6"/>
  </w:num>
  <w:num w:numId="8">
    <w:abstractNumId w:val="17"/>
  </w:num>
  <w:num w:numId="9">
    <w:abstractNumId w:val="19"/>
  </w:num>
  <w:num w:numId="10">
    <w:abstractNumId w:val="20"/>
  </w:num>
  <w:num w:numId="11">
    <w:abstractNumId w:val="9"/>
  </w:num>
  <w:num w:numId="12">
    <w:abstractNumId w:val="4"/>
  </w:num>
  <w:num w:numId="13">
    <w:abstractNumId w:val="14"/>
  </w:num>
  <w:num w:numId="14">
    <w:abstractNumId w:val="12"/>
  </w:num>
  <w:num w:numId="15">
    <w:abstractNumId w:val="3"/>
  </w:num>
  <w:num w:numId="16">
    <w:abstractNumId w:val="1"/>
  </w:num>
  <w:num w:numId="17">
    <w:abstractNumId w:val="7"/>
  </w:num>
  <w:num w:numId="18">
    <w:abstractNumId w:val="10"/>
  </w:num>
  <w:num w:numId="19">
    <w:abstractNumId w:val="2"/>
  </w:num>
  <w:num w:numId="20">
    <w:abstractNumId w:val="11"/>
  </w:num>
  <w:num w:numId="21">
    <w:abstractNumId w:val="15"/>
  </w:num>
  <w:num w:numId="22">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B4"/>
    <w:rsid w:val="0000222F"/>
    <w:rsid w:val="00005002"/>
    <w:rsid w:val="00012B9E"/>
    <w:rsid w:val="00014F96"/>
    <w:rsid w:val="00017DB4"/>
    <w:rsid w:val="00024F2F"/>
    <w:rsid w:val="00025E7E"/>
    <w:rsid w:val="000260C2"/>
    <w:rsid w:val="0002716A"/>
    <w:rsid w:val="0003678A"/>
    <w:rsid w:val="00036CBD"/>
    <w:rsid w:val="000401DE"/>
    <w:rsid w:val="00041564"/>
    <w:rsid w:val="000511AD"/>
    <w:rsid w:val="00062C53"/>
    <w:rsid w:val="000736F5"/>
    <w:rsid w:val="00073CD9"/>
    <w:rsid w:val="000873D3"/>
    <w:rsid w:val="00090297"/>
    <w:rsid w:val="00090B99"/>
    <w:rsid w:val="000C59D6"/>
    <w:rsid w:val="000D3C15"/>
    <w:rsid w:val="000D65EB"/>
    <w:rsid w:val="000D6D4E"/>
    <w:rsid w:val="000E47BE"/>
    <w:rsid w:val="000E6664"/>
    <w:rsid w:val="000F01AA"/>
    <w:rsid w:val="000F3190"/>
    <w:rsid w:val="000F613D"/>
    <w:rsid w:val="000F747B"/>
    <w:rsid w:val="00102B8A"/>
    <w:rsid w:val="0010457B"/>
    <w:rsid w:val="00105490"/>
    <w:rsid w:val="0010575D"/>
    <w:rsid w:val="00111459"/>
    <w:rsid w:val="00112A0B"/>
    <w:rsid w:val="00117E9B"/>
    <w:rsid w:val="001201B4"/>
    <w:rsid w:val="00132CF4"/>
    <w:rsid w:val="001363FA"/>
    <w:rsid w:val="00136AAE"/>
    <w:rsid w:val="001419AC"/>
    <w:rsid w:val="00145FE2"/>
    <w:rsid w:val="001470CD"/>
    <w:rsid w:val="001650B2"/>
    <w:rsid w:val="001701A0"/>
    <w:rsid w:val="00172A1B"/>
    <w:rsid w:val="00181D92"/>
    <w:rsid w:val="001833FA"/>
    <w:rsid w:val="001939F8"/>
    <w:rsid w:val="001A1BD8"/>
    <w:rsid w:val="001A4E59"/>
    <w:rsid w:val="001B18ED"/>
    <w:rsid w:val="001B1DC2"/>
    <w:rsid w:val="001B29BE"/>
    <w:rsid w:val="001C53F4"/>
    <w:rsid w:val="001C78C1"/>
    <w:rsid w:val="001D4763"/>
    <w:rsid w:val="001D5E23"/>
    <w:rsid w:val="001E03D0"/>
    <w:rsid w:val="001E3A89"/>
    <w:rsid w:val="001F1BC0"/>
    <w:rsid w:val="0020526F"/>
    <w:rsid w:val="002118A1"/>
    <w:rsid w:val="00214FC2"/>
    <w:rsid w:val="00261FDF"/>
    <w:rsid w:val="00262B13"/>
    <w:rsid w:val="00270474"/>
    <w:rsid w:val="00272361"/>
    <w:rsid w:val="002725CC"/>
    <w:rsid w:val="00274673"/>
    <w:rsid w:val="00275004"/>
    <w:rsid w:val="00282501"/>
    <w:rsid w:val="00285875"/>
    <w:rsid w:val="00291304"/>
    <w:rsid w:val="0029509B"/>
    <w:rsid w:val="002A2F7D"/>
    <w:rsid w:val="002A70D3"/>
    <w:rsid w:val="002A7A9B"/>
    <w:rsid w:val="002C314B"/>
    <w:rsid w:val="002C4D55"/>
    <w:rsid w:val="002D079A"/>
    <w:rsid w:val="002D7AE5"/>
    <w:rsid w:val="002F1327"/>
    <w:rsid w:val="002F7152"/>
    <w:rsid w:val="002F7B16"/>
    <w:rsid w:val="00307E00"/>
    <w:rsid w:val="00311A0C"/>
    <w:rsid w:val="00312B5C"/>
    <w:rsid w:val="00314C37"/>
    <w:rsid w:val="00321A9A"/>
    <w:rsid w:val="003224A7"/>
    <w:rsid w:val="0032429A"/>
    <w:rsid w:val="003251D8"/>
    <w:rsid w:val="00326913"/>
    <w:rsid w:val="003474A7"/>
    <w:rsid w:val="00347DAF"/>
    <w:rsid w:val="00355D48"/>
    <w:rsid w:val="00361902"/>
    <w:rsid w:val="00364FCC"/>
    <w:rsid w:val="00384C81"/>
    <w:rsid w:val="00386DFF"/>
    <w:rsid w:val="003A0D01"/>
    <w:rsid w:val="003A762F"/>
    <w:rsid w:val="003A7E2C"/>
    <w:rsid w:val="003B040C"/>
    <w:rsid w:val="003B2431"/>
    <w:rsid w:val="003C7825"/>
    <w:rsid w:val="003D3BED"/>
    <w:rsid w:val="003E09B8"/>
    <w:rsid w:val="003E1E4A"/>
    <w:rsid w:val="003E38D0"/>
    <w:rsid w:val="003E5F2E"/>
    <w:rsid w:val="003F402B"/>
    <w:rsid w:val="00415DFF"/>
    <w:rsid w:val="004206D0"/>
    <w:rsid w:val="004210AF"/>
    <w:rsid w:val="00441B1F"/>
    <w:rsid w:val="00443F9F"/>
    <w:rsid w:val="00454796"/>
    <w:rsid w:val="0045601C"/>
    <w:rsid w:val="0045770F"/>
    <w:rsid w:val="0045797F"/>
    <w:rsid w:val="004664C3"/>
    <w:rsid w:val="004673BE"/>
    <w:rsid w:val="004679EA"/>
    <w:rsid w:val="0047260A"/>
    <w:rsid w:val="00474B3A"/>
    <w:rsid w:val="004764E5"/>
    <w:rsid w:val="00481AA2"/>
    <w:rsid w:val="0048554F"/>
    <w:rsid w:val="00486028"/>
    <w:rsid w:val="00486537"/>
    <w:rsid w:val="004902A6"/>
    <w:rsid w:val="00491A58"/>
    <w:rsid w:val="00491C52"/>
    <w:rsid w:val="00494A30"/>
    <w:rsid w:val="004A67C3"/>
    <w:rsid w:val="004A6BC9"/>
    <w:rsid w:val="004A7E19"/>
    <w:rsid w:val="004A7E7A"/>
    <w:rsid w:val="004B003B"/>
    <w:rsid w:val="004B5E2C"/>
    <w:rsid w:val="004D0282"/>
    <w:rsid w:val="004E50F5"/>
    <w:rsid w:val="004E6CAC"/>
    <w:rsid w:val="005007A3"/>
    <w:rsid w:val="005214E6"/>
    <w:rsid w:val="00524A5D"/>
    <w:rsid w:val="00535A67"/>
    <w:rsid w:val="005370F4"/>
    <w:rsid w:val="0054008B"/>
    <w:rsid w:val="00540F8B"/>
    <w:rsid w:val="00541138"/>
    <w:rsid w:val="00550E1E"/>
    <w:rsid w:val="0055368B"/>
    <w:rsid w:val="00554029"/>
    <w:rsid w:val="00554259"/>
    <w:rsid w:val="005549C4"/>
    <w:rsid w:val="005656F2"/>
    <w:rsid w:val="005677A0"/>
    <w:rsid w:val="005772B3"/>
    <w:rsid w:val="00583BDD"/>
    <w:rsid w:val="00585D27"/>
    <w:rsid w:val="00597121"/>
    <w:rsid w:val="005A408F"/>
    <w:rsid w:val="005A4119"/>
    <w:rsid w:val="005B6944"/>
    <w:rsid w:val="005B6C9E"/>
    <w:rsid w:val="005C0361"/>
    <w:rsid w:val="005C2C1F"/>
    <w:rsid w:val="005D2440"/>
    <w:rsid w:val="005D3BFC"/>
    <w:rsid w:val="005D75FA"/>
    <w:rsid w:val="005E08E8"/>
    <w:rsid w:val="005E4B7B"/>
    <w:rsid w:val="005E6A4B"/>
    <w:rsid w:val="005E6DCD"/>
    <w:rsid w:val="005F052D"/>
    <w:rsid w:val="006148A9"/>
    <w:rsid w:val="006363E2"/>
    <w:rsid w:val="00636B65"/>
    <w:rsid w:val="00640F75"/>
    <w:rsid w:val="00657179"/>
    <w:rsid w:val="0068052A"/>
    <w:rsid w:val="00681DFC"/>
    <w:rsid w:val="00682C02"/>
    <w:rsid w:val="0068354E"/>
    <w:rsid w:val="00695161"/>
    <w:rsid w:val="00695988"/>
    <w:rsid w:val="006A13D4"/>
    <w:rsid w:val="006B38F8"/>
    <w:rsid w:val="006B3C74"/>
    <w:rsid w:val="006B7860"/>
    <w:rsid w:val="006C1C8C"/>
    <w:rsid w:val="006C3D7A"/>
    <w:rsid w:val="006C519D"/>
    <w:rsid w:val="006C5B78"/>
    <w:rsid w:val="006D416A"/>
    <w:rsid w:val="006E6104"/>
    <w:rsid w:val="006F79D3"/>
    <w:rsid w:val="00703D19"/>
    <w:rsid w:val="00707575"/>
    <w:rsid w:val="00721FB1"/>
    <w:rsid w:val="00722E33"/>
    <w:rsid w:val="00732813"/>
    <w:rsid w:val="00735F64"/>
    <w:rsid w:val="00737F51"/>
    <w:rsid w:val="007423BA"/>
    <w:rsid w:val="00744D74"/>
    <w:rsid w:val="00745935"/>
    <w:rsid w:val="00754F77"/>
    <w:rsid w:val="00761709"/>
    <w:rsid w:val="00763E4A"/>
    <w:rsid w:val="0076624E"/>
    <w:rsid w:val="00775133"/>
    <w:rsid w:val="00784A00"/>
    <w:rsid w:val="00791893"/>
    <w:rsid w:val="007A586E"/>
    <w:rsid w:val="007A5C14"/>
    <w:rsid w:val="007B4945"/>
    <w:rsid w:val="007C474D"/>
    <w:rsid w:val="007E08ED"/>
    <w:rsid w:val="007E723C"/>
    <w:rsid w:val="007F1B48"/>
    <w:rsid w:val="00802C71"/>
    <w:rsid w:val="00805200"/>
    <w:rsid w:val="008069AF"/>
    <w:rsid w:val="008071FD"/>
    <w:rsid w:val="00813BFE"/>
    <w:rsid w:val="00817E7F"/>
    <w:rsid w:val="00821296"/>
    <w:rsid w:val="0082353A"/>
    <w:rsid w:val="008275DC"/>
    <w:rsid w:val="00830066"/>
    <w:rsid w:val="0083132C"/>
    <w:rsid w:val="008358D1"/>
    <w:rsid w:val="00837E79"/>
    <w:rsid w:val="00845B33"/>
    <w:rsid w:val="00854DA3"/>
    <w:rsid w:val="00860D89"/>
    <w:rsid w:val="00861AD0"/>
    <w:rsid w:val="008626E3"/>
    <w:rsid w:val="00863139"/>
    <w:rsid w:val="00863DDD"/>
    <w:rsid w:val="008802FB"/>
    <w:rsid w:val="00882C2D"/>
    <w:rsid w:val="00886422"/>
    <w:rsid w:val="00892E14"/>
    <w:rsid w:val="00894A43"/>
    <w:rsid w:val="008A04F6"/>
    <w:rsid w:val="008B20F5"/>
    <w:rsid w:val="008B2251"/>
    <w:rsid w:val="008B4BE1"/>
    <w:rsid w:val="008B5D6E"/>
    <w:rsid w:val="008B6CE6"/>
    <w:rsid w:val="008C3035"/>
    <w:rsid w:val="008C63D9"/>
    <w:rsid w:val="008C7E93"/>
    <w:rsid w:val="008D0B16"/>
    <w:rsid w:val="008D5E7F"/>
    <w:rsid w:val="008D669B"/>
    <w:rsid w:val="008E2F8E"/>
    <w:rsid w:val="009053C2"/>
    <w:rsid w:val="0090602D"/>
    <w:rsid w:val="00906DE2"/>
    <w:rsid w:val="00921EF0"/>
    <w:rsid w:val="00926FBE"/>
    <w:rsid w:val="00934631"/>
    <w:rsid w:val="00936142"/>
    <w:rsid w:val="00937C7A"/>
    <w:rsid w:val="0094093B"/>
    <w:rsid w:val="0094099C"/>
    <w:rsid w:val="0095066F"/>
    <w:rsid w:val="00957BB2"/>
    <w:rsid w:val="00961C39"/>
    <w:rsid w:val="00967E80"/>
    <w:rsid w:val="00976C63"/>
    <w:rsid w:val="00984A2A"/>
    <w:rsid w:val="009868D5"/>
    <w:rsid w:val="0099021A"/>
    <w:rsid w:val="009922B4"/>
    <w:rsid w:val="00993E0B"/>
    <w:rsid w:val="009946DD"/>
    <w:rsid w:val="009957B3"/>
    <w:rsid w:val="00997C68"/>
    <w:rsid w:val="009A43EE"/>
    <w:rsid w:val="009B26B5"/>
    <w:rsid w:val="009C0F47"/>
    <w:rsid w:val="009C1D33"/>
    <w:rsid w:val="009C2364"/>
    <w:rsid w:val="009D1495"/>
    <w:rsid w:val="009D56DD"/>
    <w:rsid w:val="009D7D87"/>
    <w:rsid w:val="009F7DE1"/>
    <w:rsid w:val="00A000A4"/>
    <w:rsid w:val="00A032F5"/>
    <w:rsid w:val="00A16404"/>
    <w:rsid w:val="00A20C95"/>
    <w:rsid w:val="00A2599D"/>
    <w:rsid w:val="00A30750"/>
    <w:rsid w:val="00A331DC"/>
    <w:rsid w:val="00A37F67"/>
    <w:rsid w:val="00A432A7"/>
    <w:rsid w:val="00A51303"/>
    <w:rsid w:val="00A616A7"/>
    <w:rsid w:val="00A624BB"/>
    <w:rsid w:val="00A75AC2"/>
    <w:rsid w:val="00A77C5E"/>
    <w:rsid w:val="00A830B5"/>
    <w:rsid w:val="00A9096E"/>
    <w:rsid w:val="00A97418"/>
    <w:rsid w:val="00AA2219"/>
    <w:rsid w:val="00AA361A"/>
    <w:rsid w:val="00AA52A5"/>
    <w:rsid w:val="00AB040F"/>
    <w:rsid w:val="00AB09C4"/>
    <w:rsid w:val="00AB4CAB"/>
    <w:rsid w:val="00AB6035"/>
    <w:rsid w:val="00AD0E4D"/>
    <w:rsid w:val="00AD218A"/>
    <w:rsid w:val="00AD5CF2"/>
    <w:rsid w:val="00AE1C5E"/>
    <w:rsid w:val="00AF0106"/>
    <w:rsid w:val="00AF1418"/>
    <w:rsid w:val="00B15183"/>
    <w:rsid w:val="00B202CE"/>
    <w:rsid w:val="00B22555"/>
    <w:rsid w:val="00B433E8"/>
    <w:rsid w:val="00B43534"/>
    <w:rsid w:val="00B45BD6"/>
    <w:rsid w:val="00B60CFB"/>
    <w:rsid w:val="00B62FD4"/>
    <w:rsid w:val="00B65A84"/>
    <w:rsid w:val="00B65AA3"/>
    <w:rsid w:val="00B7042F"/>
    <w:rsid w:val="00B733AC"/>
    <w:rsid w:val="00B9082F"/>
    <w:rsid w:val="00B918BB"/>
    <w:rsid w:val="00B9329E"/>
    <w:rsid w:val="00BB4679"/>
    <w:rsid w:val="00BC0A6A"/>
    <w:rsid w:val="00BD096F"/>
    <w:rsid w:val="00BD2AA4"/>
    <w:rsid w:val="00BD4AD5"/>
    <w:rsid w:val="00BD53C0"/>
    <w:rsid w:val="00BE5B2D"/>
    <w:rsid w:val="00BF425D"/>
    <w:rsid w:val="00BF4759"/>
    <w:rsid w:val="00BF5A00"/>
    <w:rsid w:val="00C06A60"/>
    <w:rsid w:val="00C0733A"/>
    <w:rsid w:val="00C07835"/>
    <w:rsid w:val="00C153AD"/>
    <w:rsid w:val="00C21EBA"/>
    <w:rsid w:val="00C357BA"/>
    <w:rsid w:val="00C35CE1"/>
    <w:rsid w:val="00C36024"/>
    <w:rsid w:val="00C441E8"/>
    <w:rsid w:val="00C44BA5"/>
    <w:rsid w:val="00C54E4F"/>
    <w:rsid w:val="00C632B8"/>
    <w:rsid w:val="00C65FCD"/>
    <w:rsid w:val="00C7078F"/>
    <w:rsid w:val="00C72F09"/>
    <w:rsid w:val="00C771BF"/>
    <w:rsid w:val="00C84664"/>
    <w:rsid w:val="00C96FF6"/>
    <w:rsid w:val="00CA085C"/>
    <w:rsid w:val="00CA19C1"/>
    <w:rsid w:val="00CB1A01"/>
    <w:rsid w:val="00CB5465"/>
    <w:rsid w:val="00CB7EB4"/>
    <w:rsid w:val="00CC11CF"/>
    <w:rsid w:val="00CD1F44"/>
    <w:rsid w:val="00CE1D11"/>
    <w:rsid w:val="00CF1D7F"/>
    <w:rsid w:val="00CF2C88"/>
    <w:rsid w:val="00D015CD"/>
    <w:rsid w:val="00D03220"/>
    <w:rsid w:val="00D17106"/>
    <w:rsid w:val="00D24698"/>
    <w:rsid w:val="00D24F72"/>
    <w:rsid w:val="00D25941"/>
    <w:rsid w:val="00D34BC5"/>
    <w:rsid w:val="00D36CF5"/>
    <w:rsid w:val="00D4164C"/>
    <w:rsid w:val="00D42384"/>
    <w:rsid w:val="00D426EA"/>
    <w:rsid w:val="00D45973"/>
    <w:rsid w:val="00D46E93"/>
    <w:rsid w:val="00D50587"/>
    <w:rsid w:val="00D50A0E"/>
    <w:rsid w:val="00D50E3E"/>
    <w:rsid w:val="00D52E7B"/>
    <w:rsid w:val="00D53188"/>
    <w:rsid w:val="00D55233"/>
    <w:rsid w:val="00D65525"/>
    <w:rsid w:val="00D70AEC"/>
    <w:rsid w:val="00D74046"/>
    <w:rsid w:val="00D75DC5"/>
    <w:rsid w:val="00D77664"/>
    <w:rsid w:val="00D808A9"/>
    <w:rsid w:val="00D81E58"/>
    <w:rsid w:val="00D872C1"/>
    <w:rsid w:val="00D9408D"/>
    <w:rsid w:val="00D94796"/>
    <w:rsid w:val="00DA5EAF"/>
    <w:rsid w:val="00DB2D66"/>
    <w:rsid w:val="00DB33B9"/>
    <w:rsid w:val="00DB7EF8"/>
    <w:rsid w:val="00DC1426"/>
    <w:rsid w:val="00DD1B82"/>
    <w:rsid w:val="00DD7033"/>
    <w:rsid w:val="00DF1B14"/>
    <w:rsid w:val="00DF2422"/>
    <w:rsid w:val="00E0351C"/>
    <w:rsid w:val="00E039CD"/>
    <w:rsid w:val="00E079EB"/>
    <w:rsid w:val="00E07DCD"/>
    <w:rsid w:val="00E10427"/>
    <w:rsid w:val="00E11825"/>
    <w:rsid w:val="00E122BD"/>
    <w:rsid w:val="00E16F47"/>
    <w:rsid w:val="00E171FB"/>
    <w:rsid w:val="00E177DE"/>
    <w:rsid w:val="00E21332"/>
    <w:rsid w:val="00E2682A"/>
    <w:rsid w:val="00E26911"/>
    <w:rsid w:val="00E324D2"/>
    <w:rsid w:val="00E53580"/>
    <w:rsid w:val="00E538CA"/>
    <w:rsid w:val="00E5653F"/>
    <w:rsid w:val="00E60315"/>
    <w:rsid w:val="00E628A3"/>
    <w:rsid w:val="00E73552"/>
    <w:rsid w:val="00E73D26"/>
    <w:rsid w:val="00E8143C"/>
    <w:rsid w:val="00E93246"/>
    <w:rsid w:val="00E93B8F"/>
    <w:rsid w:val="00EA6047"/>
    <w:rsid w:val="00EA6656"/>
    <w:rsid w:val="00EA7543"/>
    <w:rsid w:val="00EB032C"/>
    <w:rsid w:val="00EB1500"/>
    <w:rsid w:val="00EB4876"/>
    <w:rsid w:val="00EB4EBC"/>
    <w:rsid w:val="00EB73E4"/>
    <w:rsid w:val="00EC0880"/>
    <w:rsid w:val="00EC217E"/>
    <w:rsid w:val="00EC6CA5"/>
    <w:rsid w:val="00ED701C"/>
    <w:rsid w:val="00ED7049"/>
    <w:rsid w:val="00EE16BA"/>
    <w:rsid w:val="00EE6D01"/>
    <w:rsid w:val="00F0245E"/>
    <w:rsid w:val="00F02D7D"/>
    <w:rsid w:val="00F07BFE"/>
    <w:rsid w:val="00F106C0"/>
    <w:rsid w:val="00F12A10"/>
    <w:rsid w:val="00F14E5C"/>
    <w:rsid w:val="00F22251"/>
    <w:rsid w:val="00F25316"/>
    <w:rsid w:val="00F2661B"/>
    <w:rsid w:val="00F33748"/>
    <w:rsid w:val="00F35C24"/>
    <w:rsid w:val="00F3668E"/>
    <w:rsid w:val="00F463DC"/>
    <w:rsid w:val="00F55204"/>
    <w:rsid w:val="00F640D9"/>
    <w:rsid w:val="00F670DA"/>
    <w:rsid w:val="00F70187"/>
    <w:rsid w:val="00F721C9"/>
    <w:rsid w:val="00F74BB6"/>
    <w:rsid w:val="00F76866"/>
    <w:rsid w:val="00F8013B"/>
    <w:rsid w:val="00F837A5"/>
    <w:rsid w:val="00F96E65"/>
    <w:rsid w:val="00FB24A7"/>
    <w:rsid w:val="00FB391E"/>
    <w:rsid w:val="00FC1D38"/>
    <w:rsid w:val="00FC2455"/>
    <w:rsid w:val="00FC3200"/>
    <w:rsid w:val="00FC7650"/>
    <w:rsid w:val="00FD5AC0"/>
    <w:rsid w:val="00FD7437"/>
    <w:rsid w:val="00FE5C75"/>
    <w:rsid w:val="00FE670C"/>
    <w:rsid w:val="00FF4B97"/>
    <w:rsid w:val="00FF5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933CAC"/>
  <w15:docId w15:val="{698A0DC5-CC24-462B-B9EB-8F2216CF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E65"/>
  </w:style>
  <w:style w:type="paragraph" w:styleId="Titre1">
    <w:name w:val="heading 1"/>
    <w:basedOn w:val="Normal"/>
    <w:next w:val="Normal"/>
    <w:link w:val="Titre1Car"/>
    <w:uiPriority w:val="9"/>
    <w:qFormat/>
    <w:rsid w:val="00992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92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54E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08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7A5C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2B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922B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E122BD"/>
    <w:pPr>
      <w:ind w:left="720"/>
      <w:contextualSpacing/>
    </w:pPr>
  </w:style>
  <w:style w:type="character" w:customStyle="1" w:styleId="Titre3Car">
    <w:name w:val="Titre 3 Car"/>
    <w:basedOn w:val="Policepardfaut"/>
    <w:link w:val="Titre3"/>
    <w:uiPriority w:val="9"/>
    <w:rsid w:val="00C54E4F"/>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0222F"/>
    <w:pPr>
      <w:tabs>
        <w:tab w:val="center" w:pos="4536"/>
        <w:tab w:val="right" w:pos="9072"/>
      </w:tabs>
      <w:spacing w:after="0" w:line="240" w:lineRule="auto"/>
    </w:pPr>
  </w:style>
  <w:style w:type="character" w:customStyle="1" w:styleId="En-tteCar">
    <w:name w:val="En-tête Car"/>
    <w:basedOn w:val="Policepardfaut"/>
    <w:link w:val="En-tte"/>
    <w:uiPriority w:val="99"/>
    <w:rsid w:val="0000222F"/>
  </w:style>
  <w:style w:type="paragraph" w:styleId="Pieddepage">
    <w:name w:val="footer"/>
    <w:basedOn w:val="Normal"/>
    <w:link w:val="PieddepageCar"/>
    <w:uiPriority w:val="99"/>
    <w:unhideWhenUsed/>
    <w:rsid w:val="00002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222F"/>
  </w:style>
  <w:style w:type="paragraph" w:styleId="Titre">
    <w:name w:val="Title"/>
    <w:basedOn w:val="Normal"/>
    <w:next w:val="Normal"/>
    <w:link w:val="TitreCar"/>
    <w:uiPriority w:val="10"/>
    <w:qFormat/>
    <w:rsid w:val="000022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222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0022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0222F"/>
    <w:rPr>
      <w:i/>
      <w:iCs/>
      <w:color w:val="5B9BD5" w:themeColor="accent1"/>
    </w:rPr>
  </w:style>
  <w:style w:type="character" w:styleId="Emphaseple">
    <w:name w:val="Subtle Emphasis"/>
    <w:basedOn w:val="Policepardfaut"/>
    <w:uiPriority w:val="19"/>
    <w:qFormat/>
    <w:rsid w:val="0000222F"/>
    <w:rPr>
      <w:i/>
      <w:iCs/>
      <w:color w:val="404040" w:themeColor="text1" w:themeTint="BF"/>
    </w:rPr>
  </w:style>
  <w:style w:type="table" w:styleId="Grilledutableau">
    <w:name w:val="Table Grid"/>
    <w:basedOn w:val="TableauNormal"/>
    <w:uiPriority w:val="39"/>
    <w:rsid w:val="0028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6FF6"/>
    <w:rPr>
      <w:color w:val="0563C1" w:themeColor="hyperlink"/>
      <w:u w:val="single"/>
    </w:rPr>
  </w:style>
  <w:style w:type="character" w:customStyle="1" w:styleId="Mentionnonrsolue1">
    <w:name w:val="Mention non résolue1"/>
    <w:basedOn w:val="Policepardfaut"/>
    <w:uiPriority w:val="99"/>
    <w:semiHidden/>
    <w:unhideWhenUsed/>
    <w:rsid w:val="003224A7"/>
    <w:rPr>
      <w:color w:val="808080"/>
      <w:shd w:val="clear" w:color="auto" w:fill="E6E6E6"/>
    </w:rPr>
  </w:style>
  <w:style w:type="character" w:customStyle="1" w:styleId="Titre4Car">
    <w:name w:val="Titre 4 Car"/>
    <w:basedOn w:val="Policepardfaut"/>
    <w:link w:val="Titre4"/>
    <w:uiPriority w:val="9"/>
    <w:rsid w:val="00CA085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7A5C14"/>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uiPriority w:val="99"/>
    <w:semiHidden/>
    <w:unhideWhenUsed/>
    <w:rsid w:val="003A76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762F"/>
    <w:rPr>
      <w:sz w:val="20"/>
      <w:szCs w:val="20"/>
    </w:rPr>
  </w:style>
  <w:style w:type="character" w:styleId="Appelnotedebasdep">
    <w:name w:val="footnote reference"/>
    <w:basedOn w:val="Policepardfaut"/>
    <w:uiPriority w:val="99"/>
    <w:semiHidden/>
    <w:unhideWhenUsed/>
    <w:rsid w:val="003A762F"/>
    <w:rPr>
      <w:vertAlign w:val="superscript"/>
    </w:rPr>
  </w:style>
  <w:style w:type="paragraph" w:styleId="Textedebulles">
    <w:name w:val="Balloon Text"/>
    <w:basedOn w:val="Normal"/>
    <w:link w:val="TextedebullesCar"/>
    <w:uiPriority w:val="99"/>
    <w:semiHidden/>
    <w:unhideWhenUsed/>
    <w:rsid w:val="000050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5002"/>
    <w:rPr>
      <w:rFonts w:ascii="Segoe UI" w:hAnsi="Segoe UI" w:cs="Segoe UI"/>
      <w:sz w:val="18"/>
      <w:szCs w:val="18"/>
    </w:rPr>
  </w:style>
  <w:style w:type="paragraph" w:styleId="Sansinterligne">
    <w:name w:val="No Spacing"/>
    <w:uiPriority w:val="1"/>
    <w:qFormat/>
    <w:rsid w:val="00863DDD"/>
    <w:pPr>
      <w:spacing w:after="0" w:line="240" w:lineRule="auto"/>
    </w:pPr>
  </w:style>
  <w:style w:type="character" w:customStyle="1" w:styleId="UnresolvedMention">
    <w:name w:val="Unresolved Mention"/>
    <w:basedOn w:val="Policepardfaut"/>
    <w:uiPriority w:val="99"/>
    <w:semiHidden/>
    <w:unhideWhenUsed/>
    <w:rsid w:val="00090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6453">
      <w:bodyDiv w:val="1"/>
      <w:marLeft w:val="0"/>
      <w:marRight w:val="0"/>
      <w:marTop w:val="0"/>
      <w:marBottom w:val="0"/>
      <w:divBdr>
        <w:top w:val="none" w:sz="0" w:space="0" w:color="auto"/>
        <w:left w:val="none" w:sz="0" w:space="0" w:color="auto"/>
        <w:bottom w:val="none" w:sz="0" w:space="0" w:color="auto"/>
        <w:right w:val="none" w:sz="0" w:space="0" w:color="auto"/>
      </w:divBdr>
    </w:div>
    <w:div w:id="53281122">
      <w:bodyDiv w:val="1"/>
      <w:marLeft w:val="0"/>
      <w:marRight w:val="0"/>
      <w:marTop w:val="0"/>
      <w:marBottom w:val="0"/>
      <w:divBdr>
        <w:top w:val="none" w:sz="0" w:space="0" w:color="auto"/>
        <w:left w:val="none" w:sz="0" w:space="0" w:color="auto"/>
        <w:bottom w:val="none" w:sz="0" w:space="0" w:color="auto"/>
        <w:right w:val="none" w:sz="0" w:space="0" w:color="auto"/>
      </w:divBdr>
      <w:divsChild>
        <w:div w:id="766534453">
          <w:marLeft w:val="0"/>
          <w:marRight w:val="0"/>
          <w:marTop w:val="0"/>
          <w:marBottom w:val="0"/>
          <w:divBdr>
            <w:top w:val="none" w:sz="0" w:space="0" w:color="auto"/>
            <w:left w:val="none" w:sz="0" w:space="0" w:color="auto"/>
            <w:bottom w:val="none" w:sz="0" w:space="0" w:color="auto"/>
            <w:right w:val="none" w:sz="0" w:space="0" w:color="auto"/>
          </w:divBdr>
        </w:div>
      </w:divsChild>
    </w:div>
    <w:div w:id="115683745">
      <w:bodyDiv w:val="1"/>
      <w:marLeft w:val="0"/>
      <w:marRight w:val="0"/>
      <w:marTop w:val="0"/>
      <w:marBottom w:val="0"/>
      <w:divBdr>
        <w:top w:val="none" w:sz="0" w:space="0" w:color="auto"/>
        <w:left w:val="none" w:sz="0" w:space="0" w:color="auto"/>
        <w:bottom w:val="none" w:sz="0" w:space="0" w:color="auto"/>
        <w:right w:val="none" w:sz="0" w:space="0" w:color="auto"/>
      </w:divBdr>
    </w:div>
    <w:div w:id="257718137">
      <w:bodyDiv w:val="1"/>
      <w:marLeft w:val="0"/>
      <w:marRight w:val="0"/>
      <w:marTop w:val="0"/>
      <w:marBottom w:val="0"/>
      <w:divBdr>
        <w:top w:val="none" w:sz="0" w:space="0" w:color="auto"/>
        <w:left w:val="none" w:sz="0" w:space="0" w:color="auto"/>
        <w:bottom w:val="none" w:sz="0" w:space="0" w:color="auto"/>
        <w:right w:val="none" w:sz="0" w:space="0" w:color="auto"/>
      </w:divBdr>
    </w:div>
    <w:div w:id="301155313">
      <w:bodyDiv w:val="1"/>
      <w:marLeft w:val="0"/>
      <w:marRight w:val="0"/>
      <w:marTop w:val="0"/>
      <w:marBottom w:val="0"/>
      <w:divBdr>
        <w:top w:val="none" w:sz="0" w:space="0" w:color="auto"/>
        <w:left w:val="none" w:sz="0" w:space="0" w:color="auto"/>
        <w:bottom w:val="none" w:sz="0" w:space="0" w:color="auto"/>
        <w:right w:val="none" w:sz="0" w:space="0" w:color="auto"/>
      </w:divBdr>
    </w:div>
    <w:div w:id="766930064">
      <w:bodyDiv w:val="1"/>
      <w:marLeft w:val="0"/>
      <w:marRight w:val="0"/>
      <w:marTop w:val="0"/>
      <w:marBottom w:val="0"/>
      <w:divBdr>
        <w:top w:val="none" w:sz="0" w:space="0" w:color="auto"/>
        <w:left w:val="none" w:sz="0" w:space="0" w:color="auto"/>
        <w:bottom w:val="none" w:sz="0" w:space="0" w:color="auto"/>
        <w:right w:val="none" w:sz="0" w:space="0" w:color="auto"/>
      </w:divBdr>
    </w:div>
    <w:div w:id="953904689">
      <w:bodyDiv w:val="1"/>
      <w:marLeft w:val="0"/>
      <w:marRight w:val="0"/>
      <w:marTop w:val="0"/>
      <w:marBottom w:val="0"/>
      <w:divBdr>
        <w:top w:val="none" w:sz="0" w:space="0" w:color="auto"/>
        <w:left w:val="none" w:sz="0" w:space="0" w:color="auto"/>
        <w:bottom w:val="none" w:sz="0" w:space="0" w:color="auto"/>
        <w:right w:val="none" w:sz="0" w:space="0" w:color="auto"/>
      </w:divBdr>
      <w:divsChild>
        <w:div w:id="992444290">
          <w:marLeft w:val="0"/>
          <w:marRight w:val="0"/>
          <w:marTop w:val="0"/>
          <w:marBottom w:val="0"/>
          <w:divBdr>
            <w:top w:val="none" w:sz="0" w:space="0" w:color="auto"/>
            <w:left w:val="none" w:sz="0" w:space="0" w:color="auto"/>
            <w:bottom w:val="none" w:sz="0" w:space="0" w:color="auto"/>
            <w:right w:val="none" w:sz="0" w:space="0" w:color="auto"/>
          </w:divBdr>
        </w:div>
        <w:div w:id="1550604434">
          <w:marLeft w:val="0"/>
          <w:marRight w:val="0"/>
          <w:marTop w:val="0"/>
          <w:marBottom w:val="0"/>
          <w:divBdr>
            <w:top w:val="none" w:sz="0" w:space="0" w:color="auto"/>
            <w:left w:val="none" w:sz="0" w:space="0" w:color="auto"/>
            <w:bottom w:val="none" w:sz="0" w:space="0" w:color="auto"/>
            <w:right w:val="none" w:sz="0" w:space="0" w:color="auto"/>
          </w:divBdr>
        </w:div>
        <w:div w:id="1813012451">
          <w:marLeft w:val="0"/>
          <w:marRight w:val="0"/>
          <w:marTop w:val="0"/>
          <w:marBottom w:val="0"/>
          <w:divBdr>
            <w:top w:val="none" w:sz="0" w:space="0" w:color="auto"/>
            <w:left w:val="none" w:sz="0" w:space="0" w:color="auto"/>
            <w:bottom w:val="none" w:sz="0" w:space="0" w:color="auto"/>
            <w:right w:val="none" w:sz="0" w:space="0" w:color="auto"/>
          </w:divBdr>
        </w:div>
      </w:divsChild>
    </w:div>
    <w:div w:id="974218544">
      <w:bodyDiv w:val="1"/>
      <w:marLeft w:val="0"/>
      <w:marRight w:val="0"/>
      <w:marTop w:val="0"/>
      <w:marBottom w:val="0"/>
      <w:divBdr>
        <w:top w:val="none" w:sz="0" w:space="0" w:color="auto"/>
        <w:left w:val="none" w:sz="0" w:space="0" w:color="auto"/>
        <w:bottom w:val="none" w:sz="0" w:space="0" w:color="auto"/>
        <w:right w:val="none" w:sz="0" w:space="0" w:color="auto"/>
      </w:divBdr>
    </w:div>
    <w:div w:id="1146749436">
      <w:bodyDiv w:val="1"/>
      <w:marLeft w:val="0"/>
      <w:marRight w:val="0"/>
      <w:marTop w:val="0"/>
      <w:marBottom w:val="0"/>
      <w:divBdr>
        <w:top w:val="none" w:sz="0" w:space="0" w:color="auto"/>
        <w:left w:val="none" w:sz="0" w:space="0" w:color="auto"/>
        <w:bottom w:val="none" w:sz="0" w:space="0" w:color="auto"/>
        <w:right w:val="none" w:sz="0" w:space="0" w:color="auto"/>
      </w:divBdr>
    </w:div>
    <w:div w:id="1283607300">
      <w:bodyDiv w:val="1"/>
      <w:marLeft w:val="0"/>
      <w:marRight w:val="0"/>
      <w:marTop w:val="0"/>
      <w:marBottom w:val="0"/>
      <w:divBdr>
        <w:top w:val="none" w:sz="0" w:space="0" w:color="auto"/>
        <w:left w:val="none" w:sz="0" w:space="0" w:color="auto"/>
        <w:bottom w:val="none" w:sz="0" w:space="0" w:color="auto"/>
        <w:right w:val="none" w:sz="0" w:space="0" w:color="auto"/>
      </w:divBdr>
      <w:divsChild>
        <w:div w:id="74979294">
          <w:marLeft w:val="0"/>
          <w:marRight w:val="0"/>
          <w:marTop w:val="0"/>
          <w:marBottom w:val="0"/>
          <w:divBdr>
            <w:top w:val="none" w:sz="0" w:space="0" w:color="auto"/>
            <w:left w:val="none" w:sz="0" w:space="0" w:color="auto"/>
            <w:bottom w:val="none" w:sz="0" w:space="0" w:color="auto"/>
            <w:right w:val="none" w:sz="0" w:space="0" w:color="auto"/>
          </w:divBdr>
        </w:div>
        <w:div w:id="1103917673">
          <w:marLeft w:val="0"/>
          <w:marRight w:val="0"/>
          <w:marTop w:val="0"/>
          <w:marBottom w:val="0"/>
          <w:divBdr>
            <w:top w:val="none" w:sz="0" w:space="0" w:color="auto"/>
            <w:left w:val="none" w:sz="0" w:space="0" w:color="auto"/>
            <w:bottom w:val="none" w:sz="0" w:space="0" w:color="auto"/>
            <w:right w:val="none" w:sz="0" w:space="0" w:color="auto"/>
          </w:divBdr>
        </w:div>
        <w:div w:id="1443528648">
          <w:marLeft w:val="0"/>
          <w:marRight w:val="0"/>
          <w:marTop w:val="0"/>
          <w:marBottom w:val="0"/>
          <w:divBdr>
            <w:top w:val="none" w:sz="0" w:space="0" w:color="auto"/>
            <w:left w:val="none" w:sz="0" w:space="0" w:color="auto"/>
            <w:bottom w:val="none" w:sz="0" w:space="0" w:color="auto"/>
            <w:right w:val="none" w:sz="0" w:space="0" w:color="auto"/>
          </w:divBdr>
        </w:div>
      </w:divsChild>
    </w:div>
    <w:div w:id="1568607722">
      <w:bodyDiv w:val="1"/>
      <w:marLeft w:val="0"/>
      <w:marRight w:val="0"/>
      <w:marTop w:val="0"/>
      <w:marBottom w:val="0"/>
      <w:divBdr>
        <w:top w:val="none" w:sz="0" w:space="0" w:color="auto"/>
        <w:left w:val="none" w:sz="0" w:space="0" w:color="auto"/>
        <w:bottom w:val="none" w:sz="0" w:space="0" w:color="auto"/>
        <w:right w:val="none" w:sz="0" w:space="0" w:color="auto"/>
      </w:divBdr>
      <w:divsChild>
        <w:div w:id="2144958018">
          <w:marLeft w:val="0"/>
          <w:marRight w:val="0"/>
          <w:marTop w:val="0"/>
          <w:marBottom w:val="0"/>
          <w:divBdr>
            <w:top w:val="none" w:sz="0" w:space="0" w:color="auto"/>
            <w:left w:val="none" w:sz="0" w:space="0" w:color="auto"/>
            <w:bottom w:val="none" w:sz="0" w:space="0" w:color="auto"/>
            <w:right w:val="none" w:sz="0" w:space="0" w:color="auto"/>
          </w:divBdr>
          <w:divsChild>
            <w:div w:id="1185898506">
              <w:marLeft w:val="0"/>
              <w:marRight w:val="0"/>
              <w:marTop w:val="0"/>
              <w:marBottom w:val="0"/>
              <w:divBdr>
                <w:top w:val="none" w:sz="0" w:space="0" w:color="auto"/>
                <w:left w:val="none" w:sz="0" w:space="0" w:color="auto"/>
                <w:bottom w:val="none" w:sz="0" w:space="0" w:color="auto"/>
                <w:right w:val="none" w:sz="0" w:space="0" w:color="auto"/>
              </w:divBdr>
            </w:div>
            <w:div w:id="361785762">
              <w:marLeft w:val="0"/>
              <w:marRight w:val="0"/>
              <w:marTop w:val="0"/>
              <w:marBottom w:val="0"/>
              <w:divBdr>
                <w:top w:val="none" w:sz="0" w:space="0" w:color="auto"/>
                <w:left w:val="none" w:sz="0" w:space="0" w:color="auto"/>
                <w:bottom w:val="none" w:sz="0" w:space="0" w:color="auto"/>
                <w:right w:val="none" w:sz="0" w:space="0" w:color="auto"/>
              </w:divBdr>
            </w:div>
            <w:div w:id="455030085">
              <w:marLeft w:val="0"/>
              <w:marRight w:val="0"/>
              <w:marTop w:val="0"/>
              <w:marBottom w:val="0"/>
              <w:divBdr>
                <w:top w:val="none" w:sz="0" w:space="0" w:color="auto"/>
                <w:left w:val="none" w:sz="0" w:space="0" w:color="auto"/>
                <w:bottom w:val="none" w:sz="0" w:space="0" w:color="auto"/>
                <w:right w:val="none" w:sz="0" w:space="0" w:color="auto"/>
              </w:divBdr>
            </w:div>
            <w:div w:id="554120473">
              <w:marLeft w:val="0"/>
              <w:marRight w:val="0"/>
              <w:marTop w:val="0"/>
              <w:marBottom w:val="0"/>
              <w:divBdr>
                <w:top w:val="none" w:sz="0" w:space="0" w:color="auto"/>
                <w:left w:val="none" w:sz="0" w:space="0" w:color="auto"/>
                <w:bottom w:val="none" w:sz="0" w:space="0" w:color="auto"/>
                <w:right w:val="none" w:sz="0" w:space="0" w:color="auto"/>
              </w:divBdr>
            </w:div>
            <w:div w:id="506479014">
              <w:marLeft w:val="0"/>
              <w:marRight w:val="0"/>
              <w:marTop w:val="0"/>
              <w:marBottom w:val="0"/>
              <w:divBdr>
                <w:top w:val="none" w:sz="0" w:space="0" w:color="auto"/>
                <w:left w:val="none" w:sz="0" w:space="0" w:color="auto"/>
                <w:bottom w:val="none" w:sz="0" w:space="0" w:color="auto"/>
                <w:right w:val="none" w:sz="0" w:space="0" w:color="auto"/>
              </w:divBdr>
            </w:div>
            <w:div w:id="458456165">
              <w:marLeft w:val="0"/>
              <w:marRight w:val="0"/>
              <w:marTop w:val="0"/>
              <w:marBottom w:val="0"/>
              <w:divBdr>
                <w:top w:val="none" w:sz="0" w:space="0" w:color="auto"/>
                <w:left w:val="none" w:sz="0" w:space="0" w:color="auto"/>
                <w:bottom w:val="none" w:sz="0" w:space="0" w:color="auto"/>
                <w:right w:val="none" w:sz="0" w:space="0" w:color="auto"/>
              </w:divBdr>
            </w:div>
            <w:div w:id="1844080433">
              <w:marLeft w:val="0"/>
              <w:marRight w:val="0"/>
              <w:marTop w:val="0"/>
              <w:marBottom w:val="0"/>
              <w:divBdr>
                <w:top w:val="none" w:sz="0" w:space="0" w:color="auto"/>
                <w:left w:val="none" w:sz="0" w:space="0" w:color="auto"/>
                <w:bottom w:val="none" w:sz="0" w:space="0" w:color="auto"/>
                <w:right w:val="none" w:sz="0" w:space="0" w:color="auto"/>
              </w:divBdr>
            </w:div>
            <w:div w:id="1413620932">
              <w:marLeft w:val="0"/>
              <w:marRight w:val="0"/>
              <w:marTop w:val="0"/>
              <w:marBottom w:val="0"/>
              <w:divBdr>
                <w:top w:val="none" w:sz="0" w:space="0" w:color="auto"/>
                <w:left w:val="none" w:sz="0" w:space="0" w:color="auto"/>
                <w:bottom w:val="none" w:sz="0" w:space="0" w:color="auto"/>
                <w:right w:val="none" w:sz="0" w:space="0" w:color="auto"/>
              </w:divBdr>
            </w:div>
          </w:divsChild>
        </w:div>
        <w:div w:id="2138058250">
          <w:marLeft w:val="0"/>
          <w:marRight w:val="0"/>
          <w:marTop w:val="0"/>
          <w:marBottom w:val="0"/>
          <w:divBdr>
            <w:top w:val="none" w:sz="0" w:space="0" w:color="auto"/>
            <w:left w:val="none" w:sz="0" w:space="0" w:color="auto"/>
            <w:bottom w:val="none" w:sz="0" w:space="0" w:color="auto"/>
            <w:right w:val="none" w:sz="0" w:space="0" w:color="auto"/>
          </w:divBdr>
        </w:div>
        <w:div w:id="1514301506">
          <w:marLeft w:val="0"/>
          <w:marRight w:val="0"/>
          <w:marTop w:val="0"/>
          <w:marBottom w:val="0"/>
          <w:divBdr>
            <w:top w:val="none" w:sz="0" w:space="0" w:color="auto"/>
            <w:left w:val="none" w:sz="0" w:space="0" w:color="auto"/>
            <w:bottom w:val="none" w:sz="0" w:space="0" w:color="auto"/>
            <w:right w:val="none" w:sz="0" w:space="0" w:color="auto"/>
          </w:divBdr>
          <w:divsChild>
            <w:div w:id="15481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Alma/Release_Notes/2020/Alma_2020_Release_Notes?mon=202009BASE"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40EDFA42749DCA90E4D7A91410D16"/>
        <w:category>
          <w:name w:val="Général"/>
          <w:gallery w:val="placeholder"/>
        </w:category>
        <w:types>
          <w:type w:val="bbPlcHdr"/>
        </w:types>
        <w:behaviors>
          <w:behavior w:val="content"/>
        </w:behaviors>
        <w:guid w:val="{04CA7C54-56E8-423A-BD2E-5E39C7B3D838}"/>
      </w:docPartPr>
      <w:docPartBody>
        <w:p w:rsidR="006E63FF" w:rsidRDefault="006E63FF" w:rsidP="006E63FF">
          <w:pPr>
            <w:pStyle w:val="1F140EDFA42749DCA90E4D7A91410D16"/>
          </w:pPr>
          <w:r>
            <w:rPr>
              <w:color w:val="5B9BD5"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3FF"/>
    <w:rsid w:val="001D43AB"/>
    <w:rsid w:val="00253EAA"/>
    <w:rsid w:val="003942C8"/>
    <w:rsid w:val="003C51E5"/>
    <w:rsid w:val="006E63FF"/>
    <w:rsid w:val="006E761A"/>
    <w:rsid w:val="008F5EF0"/>
    <w:rsid w:val="00B20AE5"/>
    <w:rsid w:val="00E22BFD"/>
    <w:rsid w:val="00E32E7A"/>
    <w:rsid w:val="00ED703A"/>
    <w:rsid w:val="00F04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45C7CAF90648A9B5CE41C5832E3BAA">
    <w:name w:val="A645C7CAF90648A9B5CE41C5832E3BAA"/>
    <w:rsid w:val="006E63FF"/>
  </w:style>
  <w:style w:type="paragraph" w:customStyle="1" w:styleId="1F140EDFA42749DCA90E4D7A91410D16">
    <w:name w:val="1F140EDFA42749DCA90E4D7A91410D16"/>
    <w:rsid w:val="006E6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FA3C5-5917-4302-BA15-00A66F101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713</Words>
  <Characters>3926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Note de version Alma – Septembre 2020</vt:lpstr>
    </vt:vector>
  </TitlesOfParts>
  <Company>Microsoft</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version Alma – Septembre 2020</dc:title>
  <dc:subject/>
  <dc:creator>Loïc Ducasse</dc:creator>
  <cp:keywords/>
  <dc:description/>
  <cp:lastModifiedBy>Loic Ducasse</cp:lastModifiedBy>
  <cp:revision>8</cp:revision>
  <dcterms:created xsi:type="dcterms:W3CDTF">2020-08-28T15:00:00Z</dcterms:created>
  <dcterms:modified xsi:type="dcterms:W3CDTF">2020-09-08T11:37:00Z</dcterms:modified>
</cp:coreProperties>
</file>