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E32A" w14:textId="77777777" w:rsidR="00D50587" w:rsidRDefault="00117E9B" w:rsidP="0000222F">
      <w:pPr>
        <w:pStyle w:val="Citationintense"/>
        <w:rPr>
          <w:rStyle w:val="Emphaseple"/>
          <w:b/>
          <w:sz w:val="56"/>
        </w:rPr>
      </w:pPr>
      <w:bookmarkStart w:id="0" w:name="_Hlk37953237"/>
      <w:r>
        <w:rPr>
          <w:rStyle w:val="Emphaseple"/>
          <w:b/>
          <w:sz w:val="56"/>
        </w:rPr>
        <w:t>Note de version Alma –</w:t>
      </w:r>
      <w:r w:rsidR="00B62FD4">
        <w:rPr>
          <w:rStyle w:val="Emphaseple"/>
          <w:b/>
          <w:sz w:val="56"/>
        </w:rPr>
        <w:t xml:space="preserve">  </w:t>
      </w:r>
    </w:p>
    <w:p w14:paraId="34D27549" w14:textId="2E280346" w:rsidR="009922B4" w:rsidRPr="0000222F" w:rsidRDefault="00090B99" w:rsidP="0000222F">
      <w:pPr>
        <w:pStyle w:val="Citationintense"/>
        <w:rPr>
          <w:rStyle w:val="Emphaseple"/>
          <w:b/>
          <w:sz w:val="56"/>
        </w:rPr>
      </w:pPr>
      <w:r>
        <w:rPr>
          <w:rStyle w:val="Emphaseple"/>
          <w:b/>
          <w:sz w:val="56"/>
        </w:rPr>
        <w:t>Mai</w:t>
      </w:r>
      <w:r w:rsidR="00C0733A">
        <w:rPr>
          <w:rStyle w:val="Emphaseple"/>
          <w:b/>
          <w:sz w:val="56"/>
        </w:rPr>
        <w:t xml:space="preserve"> 2020</w:t>
      </w:r>
    </w:p>
    <w:p w14:paraId="08EA3FC0" w14:textId="77777777" w:rsidR="004B003B" w:rsidRDefault="004B003B" w:rsidP="004B003B"/>
    <w:p w14:paraId="1D9C4E24" w14:textId="5A5FC9FC" w:rsidR="009868D5" w:rsidRPr="00270474" w:rsidRDefault="009868D5" w:rsidP="004B003B">
      <w:pPr>
        <w:rPr>
          <w:rFonts w:ascii="Helvetica" w:hAnsi="Helvetica" w:cs="Helvetica"/>
          <w:sz w:val="16"/>
          <w:szCs w:val="16"/>
        </w:rPr>
      </w:pPr>
      <w:r w:rsidRPr="00270474">
        <w:rPr>
          <w:rFonts w:ascii="Helvetica" w:hAnsi="Helvetica" w:cs="Helvetica"/>
          <w:sz w:val="16"/>
          <w:szCs w:val="16"/>
        </w:rPr>
        <w:t xml:space="preserve">Source : </w:t>
      </w:r>
      <w:hyperlink r:id="rId8" w:history="1">
        <w:r w:rsidR="00090B99" w:rsidRPr="00F46E3E">
          <w:rPr>
            <w:rStyle w:val="Lienhypertexte"/>
            <w:rFonts w:ascii="Helvetica" w:hAnsi="Helvetica"/>
            <w:sz w:val="16"/>
            <w:szCs w:val="16"/>
          </w:rPr>
          <w:t>https://knowledge.exlibrisgroup.com/Alma/Release_Notes/2020/Alma_2020_Release_Notes?mon=202005BASE</w:t>
        </w:r>
      </w:hyperlink>
      <w:r w:rsidR="00270474" w:rsidRPr="00270474">
        <w:rPr>
          <w:rFonts w:ascii="Helvetica" w:hAnsi="Helvetica"/>
          <w:sz w:val="16"/>
          <w:szCs w:val="16"/>
        </w:rPr>
        <w:t xml:space="preserve"> </w:t>
      </w:r>
      <w:r w:rsidRPr="00270474">
        <w:rPr>
          <w:rFonts w:ascii="Helvetica" w:hAnsi="Helvetica" w:cs="Helvetica"/>
          <w:sz w:val="16"/>
          <w:szCs w:val="16"/>
        </w:rPr>
        <w:t xml:space="preserve"> </w:t>
      </w:r>
    </w:p>
    <w:p w14:paraId="106E870F" w14:textId="77777777" w:rsidR="009868D5" w:rsidRDefault="009868D5" w:rsidP="004B003B"/>
    <w:p w14:paraId="7B4004F7" w14:textId="77777777" w:rsidR="00EB73E4" w:rsidRDefault="00EB73E4" w:rsidP="004B003B"/>
    <w:p w14:paraId="620B729C" w14:textId="77777777" w:rsidR="00EB73E4" w:rsidRPr="006C3D7A" w:rsidRDefault="00EB73E4" w:rsidP="00EB73E4">
      <w:pPr>
        <w:pStyle w:val="Titre1"/>
        <w:rPr>
          <w:rFonts w:asciiTheme="minorHAnsi" w:hAnsiTheme="minorHAnsi"/>
          <w:color w:val="auto"/>
          <w:sz w:val="40"/>
        </w:rPr>
      </w:pPr>
      <w:bookmarkStart w:id="1" w:name="OLE_LINK1"/>
      <w:bookmarkStart w:id="2" w:name="OLE_LINK2"/>
      <w:r>
        <w:rPr>
          <w:rFonts w:asciiTheme="minorHAnsi" w:hAnsiTheme="minorHAnsi"/>
          <w:color w:val="auto"/>
          <w:sz w:val="40"/>
        </w:rPr>
        <w:t>Administration générale</w:t>
      </w:r>
    </w:p>
    <w:p w14:paraId="6C38C6AD" w14:textId="77777777" w:rsidR="00D50587" w:rsidRDefault="00D50587" w:rsidP="00D45973">
      <w:pPr>
        <w:jc w:val="both"/>
        <w:rPr>
          <w:rFonts w:ascii="Helvetica" w:hAnsi="Helvetica"/>
          <w:sz w:val="20"/>
        </w:rPr>
      </w:pPr>
    </w:p>
    <w:p w14:paraId="592ACC4A" w14:textId="3D434F61" w:rsidR="00EB73E4" w:rsidRDefault="00A331DC" w:rsidP="00EB73E4">
      <w:pPr>
        <w:pStyle w:val="Titre2"/>
        <w:jc w:val="both"/>
        <w:rPr>
          <w:rFonts w:asciiTheme="minorHAnsi" w:hAnsiTheme="minorHAnsi"/>
          <w:color w:val="auto"/>
          <w:sz w:val="32"/>
        </w:rPr>
      </w:pPr>
      <w:bookmarkStart w:id="3" w:name="_Hlk37950933"/>
      <w:r>
        <w:rPr>
          <w:rFonts w:asciiTheme="minorHAnsi" w:hAnsiTheme="minorHAnsi"/>
          <w:color w:val="auto"/>
          <w:sz w:val="32"/>
        </w:rPr>
        <w:t xml:space="preserve">Gestion des </w:t>
      </w:r>
      <w:bookmarkEnd w:id="3"/>
      <w:r>
        <w:rPr>
          <w:rFonts w:asciiTheme="minorHAnsi" w:hAnsiTheme="minorHAnsi"/>
          <w:color w:val="auto"/>
          <w:sz w:val="32"/>
        </w:rPr>
        <w:t>files d’impression</w:t>
      </w:r>
    </w:p>
    <w:p w14:paraId="6C26A406" w14:textId="3540214C" w:rsidR="00A331DC" w:rsidRDefault="00A331DC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La liste d’attente des impression (menu Administration -&gt; Liste d’attente des files d’impression), qui est actuellement accessible à n’importe quel utilisateur d’Alma, ne sera accessible qu’aux utilisateurs disposant du rôle d’opérateur ou de gestionnaire des files d’impressions </w:t>
      </w:r>
      <w:r w:rsidR="00A624BB">
        <w:rPr>
          <w:rFonts w:ascii="Helvetica" w:hAnsi="Helvetica"/>
          <w:sz w:val="20"/>
        </w:rPr>
        <w:t xml:space="preserve">(les premiers ne verront que les impressions qu’ils auront lancées, les seconds toutes les impressions). </w:t>
      </w:r>
    </w:p>
    <w:p w14:paraId="430F1908" w14:textId="13C7006D" w:rsidR="00A624BB" w:rsidRDefault="00A624B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 changement sera opérationnel avec la version de juin. D’ici là, et par défaut, le rôle d’opérateur de file d’impression sera attribué à toute personne ayant lancé une impression depuis cette liste au cours des 30 jours qui précèdent ladite version. </w:t>
      </w:r>
    </w:p>
    <w:p w14:paraId="23D1FAAE" w14:textId="50ED1461" w:rsidR="00A624BB" w:rsidRDefault="00A624B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Par ailleurs, la durée de conservation des éléments présents dans la ville est portée de 7 à 30 jours avec la version d’Alma du mois de mai. </w:t>
      </w:r>
    </w:p>
    <w:p w14:paraId="3233BD2F" w14:textId="1E9819EA" w:rsidR="00A624BB" w:rsidRDefault="00A624BB" w:rsidP="00D45973">
      <w:pPr>
        <w:jc w:val="both"/>
        <w:rPr>
          <w:rFonts w:ascii="Helvetica" w:hAnsi="Helvetica"/>
          <w:sz w:val="20"/>
        </w:rPr>
      </w:pPr>
    </w:p>
    <w:p w14:paraId="4C26F5CE" w14:textId="77777777" w:rsidR="00F96E65" w:rsidRDefault="00F96E65" w:rsidP="00D45973">
      <w:pPr>
        <w:jc w:val="both"/>
        <w:rPr>
          <w:rFonts w:ascii="Helvetica" w:hAnsi="Helvetica"/>
          <w:sz w:val="20"/>
        </w:rPr>
      </w:pPr>
    </w:p>
    <w:p w14:paraId="49C5B53B" w14:textId="62B95167" w:rsidR="00A331DC" w:rsidRPr="001833FA" w:rsidRDefault="00A624BB" w:rsidP="001833FA">
      <w:pPr>
        <w:pStyle w:val="Titre2"/>
        <w:rPr>
          <w:rFonts w:asciiTheme="minorHAnsi" w:hAnsiTheme="minorHAnsi" w:cstheme="minorHAnsi"/>
          <w:color w:val="auto"/>
          <w:sz w:val="24"/>
        </w:rPr>
      </w:pPr>
      <w:r w:rsidRPr="001833FA">
        <w:rPr>
          <w:rFonts w:asciiTheme="minorHAnsi" w:hAnsiTheme="minorHAnsi" w:cstheme="minorHAnsi"/>
          <w:color w:val="auto"/>
          <w:sz w:val="32"/>
        </w:rPr>
        <w:t>Gestion des raccourcis clavier</w:t>
      </w:r>
    </w:p>
    <w:p w14:paraId="422120C0" w14:textId="16F0DF29" w:rsidR="00A624BB" w:rsidRDefault="00A624B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La liste des raccourcis clavier utilisables dans Alma est accessible depuis le lien qui permet de modifier les préférences d’affichage de l’utilisateur. </w:t>
      </w:r>
    </w:p>
    <w:p w14:paraId="31ADD59A" w14:textId="22B40132" w:rsidR="00A624BB" w:rsidRDefault="00A624B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lastRenderedPageBreak/>
        <w:drawing>
          <wp:inline distT="0" distB="0" distL="0" distR="0" wp14:anchorId="6E9E9D8C" wp14:editId="30375D07">
            <wp:extent cx="5381625" cy="5210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16_1737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E13E3" w14:textId="128C2B77" w:rsidR="00A624BB" w:rsidRDefault="00A624B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noProof/>
          <w:sz w:val="20"/>
          <w:lang w:eastAsia="fr-FR"/>
        </w:rPr>
        <w:drawing>
          <wp:inline distT="0" distB="0" distL="0" distR="0" wp14:anchorId="266C3B7D" wp14:editId="2198A5E2">
            <wp:extent cx="5760720" cy="281749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-04-16_1737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8C56C" w14:textId="77777777" w:rsidR="00A624BB" w:rsidRDefault="00A624BB" w:rsidP="00D45973">
      <w:pPr>
        <w:jc w:val="both"/>
        <w:rPr>
          <w:rFonts w:ascii="Helvetica" w:hAnsi="Helvetica"/>
          <w:sz w:val="20"/>
        </w:rPr>
      </w:pPr>
    </w:p>
    <w:p w14:paraId="2786D8D8" w14:textId="55BC43C8" w:rsidR="00A624BB" w:rsidRDefault="00A624BB" w:rsidP="00D4597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Ces raccourcis peuvent être désactivés en basculant le bouton radio de chaque raccourci. Ils ne peuvent pas être modifiés. </w:t>
      </w:r>
    </w:p>
    <w:p w14:paraId="688109E3" w14:textId="77777777" w:rsidR="00A624BB" w:rsidRDefault="00A624BB" w:rsidP="00D45973">
      <w:pPr>
        <w:jc w:val="both"/>
        <w:rPr>
          <w:rFonts w:ascii="Helvetica" w:hAnsi="Helvetica"/>
          <w:sz w:val="20"/>
        </w:rPr>
      </w:pPr>
    </w:p>
    <w:bookmarkEnd w:id="1"/>
    <w:bookmarkEnd w:id="2"/>
    <w:p w14:paraId="271193C6" w14:textId="77777777" w:rsidR="00312B5C" w:rsidRDefault="00312B5C" w:rsidP="00312B5C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t>Acquisitions</w:t>
      </w:r>
    </w:p>
    <w:p w14:paraId="685EE8B8" w14:textId="77777777" w:rsidR="00312B5C" w:rsidRDefault="00312B5C" w:rsidP="00312B5C">
      <w:pPr>
        <w:jc w:val="both"/>
      </w:pPr>
    </w:p>
    <w:p w14:paraId="1C12DA39" w14:textId="7AF47F13" w:rsidR="00291304" w:rsidRPr="001833FA" w:rsidRDefault="00A624BB" w:rsidP="001833FA">
      <w:pPr>
        <w:pStyle w:val="Titre2"/>
        <w:rPr>
          <w:rFonts w:asciiTheme="minorHAnsi" w:eastAsia="Times New Roman" w:hAnsiTheme="minorHAnsi" w:cstheme="minorHAnsi"/>
          <w:color w:val="auto"/>
          <w:sz w:val="32"/>
          <w:lang w:eastAsia="fr-FR"/>
        </w:rPr>
      </w:pPr>
      <w:bookmarkStart w:id="4" w:name="_Hlk37951315"/>
      <w:r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>Mise à jour des lignes de commande par API</w:t>
      </w:r>
    </w:p>
    <w:bookmarkEnd w:id="4"/>
    <w:p w14:paraId="3947D880" w14:textId="1B73BDE3" w:rsidR="00311A0C" w:rsidRDefault="00A624BB" w:rsidP="00291304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La version d’Alma du mois de mai permet de </w:t>
      </w:r>
      <w:r w:rsidRPr="00A624BB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créer ou de mettre à jour le fournisseur dans la section de la ligne de commande intitulée 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« I</w:t>
      </w:r>
      <w:r w:rsidRPr="00A624BB"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>nformation sur le fournisseur</w:t>
      </w:r>
      <w:r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  <w:t xml:space="preserve"> ». </w:t>
      </w:r>
    </w:p>
    <w:p w14:paraId="1449709B" w14:textId="1E94DD46" w:rsidR="00291304" w:rsidRDefault="00A624BB" w:rsidP="00291304">
      <w:pPr>
        <w:shd w:val="clear" w:color="auto" w:fill="FFFFFF"/>
        <w:jc w:val="both"/>
        <w:rPr>
          <w:rFonts w:ascii="Helvetica" w:eastAsia="Times New Roman" w:hAnsi="Helvetica" w:cstheme="minorHAnsi"/>
          <w:color w:val="000000"/>
          <w:sz w:val="20"/>
          <w:szCs w:val="20"/>
          <w:lang w:eastAsia="fr-FR"/>
        </w:rPr>
      </w:pPr>
      <w:bookmarkStart w:id="5" w:name="_GoBack"/>
      <w:r w:rsidRPr="00A624BB">
        <w:rPr>
          <w:noProof/>
          <w:lang w:eastAsia="fr-FR"/>
        </w:rPr>
        <w:drawing>
          <wp:inline distT="0" distB="0" distL="0" distR="0" wp14:anchorId="4FF9776F" wp14:editId="0617AACF">
            <wp:extent cx="5760720" cy="9353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6071B66F" w14:textId="77777777" w:rsidR="00291304" w:rsidRPr="00505191" w:rsidRDefault="00291304" w:rsidP="0029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70AF26" w14:textId="43A17C6D" w:rsidR="00291304" w:rsidRDefault="00291304" w:rsidP="0029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2F31D9" w14:textId="77777777" w:rsidR="00F96E65" w:rsidRDefault="00F96E65" w:rsidP="00291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536052" w14:textId="20C4AF1D" w:rsidR="00A624BB" w:rsidRPr="001833FA" w:rsidRDefault="00A37F67" w:rsidP="001833FA">
      <w:pPr>
        <w:pStyle w:val="Titre2"/>
        <w:rPr>
          <w:rFonts w:asciiTheme="minorHAnsi" w:eastAsia="Times New Roman" w:hAnsiTheme="minorHAnsi" w:cstheme="minorHAnsi"/>
          <w:color w:val="auto"/>
          <w:sz w:val="32"/>
          <w:lang w:eastAsia="fr-FR"/>
        </w:rPr>
      </w:pPr>
      <w:bookmarkStart w:id="6" w:name="_Hlk37951744"/>
      <w:r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>« Commandes</w:t>
      </w:r>
      <w:r w:rsidR="00A624BB"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 xml:space="preserve"> en temps réel</w:t>
      </w:r>
      <w:r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> »</w:t>
      </w:r>
    </w:p>
    <w:bookmarkEnd w:id="6"/>
    <w:p w14:paraId="24CF09CB" w14:textId="42432CB3" w:rsidR="00A624BB" w:rsidRDefault="00A37F67" w:rsidP="00A37F67">
      <w:pPr>
        <w:jc w:val="both"/>
        <w:rPr>
          <w:rFonts w:ascii="Helvetica" w:eastAsia="Times New Roman" w:hAnsi="Helvetica" w:cs="Times New Roman"/>
          <w:sz w:val="20"/>
          <w:szCs w:val="20"/>
          <w:lang w:eastAsia="fr-FR"/>
        </w:rPr>
      </w:pPr>
      <w:r w:rsidRPr="00A37F67">
        <w:rPr>
          <w:rFonts w:ascii="Helvetica" w:eastAsia="Times New Roman" w:hAnsi="Helvetica" w:cs="Times New Roman"/>
          <w:sz w:val="20"/>
          <w:szCs w:val="20"/>
          <w:lang w:eastAsia="fr-FR"/>
        </w:rPr>
        <w:t>Les API</w:t>
      </w:r>
      <w:r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 d’Alma permettent de créer automatiquement dans Alma une ligne de commande après sa création sur la plateforme du fournisseur. </w:t>
      </w:r>
    </w:p>
    <w:p w14:paraId="261699E2" w14:textId="26779B8A" w:rsidR="00A37F67" w:rsidRPr="00A37F67" w:rsidRDefault="00A37F67" w:rsidP="00A37F67">
      <w:pPr>
        <w:jc w:val="both"/>
        <w:rPr>
          <w:rFonts w:ascii="Helvetica" w:eastAsia="Times New Roman" w:hAnsi="Helvetica" w:cs="Times New Roman"/>
          <w:sz w:val="20"/>
          <w:szCs w:val="20"/>
          <w:lang w:eastAsia="fr-FR"/>
        </w:rPr>
      </w:pPr>
      <w:r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Cette possibilité est offerte pour les commandes faites depuis la plateforme </w:t>
      </w:r>
      <w:hyperlink r:id="rId12" w:history="1">
        <w:r w:rsidRPr="00A37F67">
          <w:rPr>
            <w:rStyle w:val="Lienhypertexte"/>
            <w:rFonts w:ascii="Helvetica" w:eastAsia="Times New Roman" w:hAnsi="Helvetica" w:cs="Times New Roman"/>
            <w:sz w:val="20"/>
            <w:szCs w:val="20"/>
            <w:lang w:eastAsia="fr-FR"/>
          </w:rPr>
          <w:t>Oasis</w:t>
        </w:r>
      </w:hyperlink>
      <w:r>
        <w:rPr>
          <w:rFonts w:ascii="Helvetica" w:eastAsia="Times New Roman" w:hAnsi="Helvetica" w:cs="Times New Roman"/>
          <w:sz w:val="20"/>
          <w:szCs w:val="20"/>
          <w:lang w:eastAsia="fr-FR"/>
        </w:rPr>
        <w:t xml:space="preserve"> auprès de onze fournisseurs de ressources électroniques, parmi lesquels Ebsco, Elsevier, Ebooks Central, SAGE ou Taylor &amp; Francis. Dans ce contexte, la création de la commande s’accompagne de l’activation du ou des portfolios qui correspondent à la commande, en lieu et place de l’importation de notices avec création de portfolios. Les collections électroniques adéquates doivent avoir été préalablement activées au niveau de l’institution. </w:t>
      </w:r>
    </w:p>
    <w:p w14:paraId="6F2A44E2" w14:textId="1CBAC7AC" w:rsidR="00F96E65" w:rsidRDefault="00F96E65" w:rsidP="000E6664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bookmarkStart w:id="7" w:name="_Hlk37952912"/>
    </w:p>
    <w:p w14:paraId="448AC26A" w14:textId="77777777" w:rsidR="00F96E65" w:rsidRDefault="00F96E65" w:rsidP="000E6664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0C2D5D5B" w14:textId="7CE1F213" w:rsidR="00A37F67" w:rsidRPr="001833FA" w:rsidRDefault="00A37F67" w:rsidP="001833FA">
      <w:pPr>
        <w:pStyle w:val="Titre2"/>
        <w:rPr>
          <w:rFonts w:asciiTheme="minorHAnsi" w:eastAsia="Times New Roman" w:hAnsiTheme="minorHAnsi" w:cstheme="minorHAnsi"/>
          <w:color w:val="auto"/>
          <w:sz w:val="32"/>
          <w:lang w:eastAsia="fr-FR"/>
        </w:rPr>
      </w:pPr>
      <w:r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>Moissonnage des rapports via SUSHI</w:t>
      </w:r>
    </w:p>
    <w:p w14:paraId="0FF3BCB7" w14:textId="48B091AA" w:rsidR="00A37F67" w:rsidRPr="00A37F67" w:rsidRDefault="00A37F67" w:rsidP="00A37F67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La collecte</w:t>
      </w:r>
      <w:bookmarkEnd w:id="7"/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des rapports statistiques sur les plateformes des éditeurs peut être désormais programmée à échéance mensuelle et non plus seulement hebdomadaire. </w:t>
      </w:r>
    </w:p>
    <w:p w14:paraId="6974A04E" w14:textId="77777777" w:rsidR="000E6664" w:rsidRDefault="000E6664" w:rsidP="000E6664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6ADB30B3" w14:textId="77777777" w:rsidR="00A37F67" w:rsidRDefault="00A37F67">
      <w:pPr>
        <w:rPr>
          <w:rFonts w:eastAsiaTheme="majorEastAsia" w:cstheme="majorBidi"/>
          <w:sz w:val="40"/>
          <w:szCs w:val="40"/>
        </w:rPr>
      </w:pPr>
      <w:r>
        <w:rPr>
          <w:sz w:val="40"/>
          <w:szCs w:val="40"/>
        </w:rPr>
        <w:br w:type="page"/>
      </w:r>
    </w:p>
    <w:p w14:paraId="70A9B8C4" w14:textId="551D331B" w:rsidR="00A37F67" w:rsidRDefault="00A37F67" w:rsidP="00A37F67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r>
        <w:rPr>
          <w:rFonts w:asciiTheme="minorHAnsi" w:hAnsiTheme="minorHAnsi"/>
          <w:color w:val="auto"/>
          <w:sz w:val="40"/>
          <w:szCs w:val="40"/>
        </w:rPr>
        <w:lastRenderedPageBreak/>
        <w:t>Gestion des données</w:t>
      </w:r>
    </w:p>
    <w:p w14:paraId="3A222D4A" w14:textId="77777777" w:rsidR="00A37F67" w:rsidRDefault="00A37F67" w:rsidP="00A37F67">
      <w:pPr>
        <w:jc w:val="both"/>
      </w:pPr>
    </w:p>
    <w:p w14:paraId="4C3053E9" w14:textId="6D101C55" w:rsidR="00A37F67" w:rsidRPr="003A7E2C" w:rsidRDefault="00A37F67" w:rsidP="00A37F67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Nouvel éditeur de métadonnées</w:t>
      </w:r>
    </w:p>
    <w:p w14:paraId="5253D58A" w14:textId="1F6077BD" w:rsidR="00BE5B2D" w:rsidRDefault="00A37F67" w:rsidP="00BE5B2D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La version d’Alma du mois de mai marque le début de l’implémentation du nouvel éditeur de métadonnées. </w:t>
      </w:r>
      <w:r w:rsidR="00BE5B2D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Alma ne s’ouvrira par défaut sur celui-ci qu’avec la version de janvier 2021, sa mise en œuvre définitive sans possibilité de retour à l’ancienne, intervenant avec la version de mars. En attendant, la bascule de l’un à l’autre restera possible à tout moment. </w:t>
      </w:r>
    </w:p>
    <w:p w14:paraId="2826AA86" w14:textId="77777777" w:rsidR="00BE5B2D" w:rsidRDefault="00BE5B2D" w:rsidP="00BE5B2D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Le nouvel éditeur de métadonnées verra ses fonctionnalités progressivement implémentées jusqu’à la version d’août, inclusivement. En octobre et novembre seront implémentées les fonctionnalités avancées liées à la gestion des modèles de notices et aux règles de normalisation. Le nouveau module complet ne sera donc livré qu’à la fin de l’année. </w:t>
      </w:r>
    </w:p>
    <w:p w14:paraId="3FCA332F" w14:textId="4B1A6252" w:rsidR="00BE5B2D" w:rsidRDefault="00BE5B2D" w:rsidP="00BE5B2D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7C3EE56D" w14:textId="417A3E85" w:rsidR="00F96E65" w:rsidRPr="00F96E65" w:rsidRDefault="00F96E65" w:rsidP="00F96E65">
      <w:pPr>
        <w:jc w:val="both"/>
        <w:rPr>
          <w:rFonts w:ascii="Helvetica" w:hAnsi="Helvetica"/>
          <w:b/>
          <w:bCs/>
          <w:color w:val="000000"/>
          <w:sz w:val="20"/>
          <w:szCs w:val="18"/>
          <w:u w:val="single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0"/>
          <w:szCs w:val="18"/>
          <w:u w:val="single"/>
          <w:shd w:val="clear" w:color="auto" w:fill="FFFFFF"/>
        </w:rPr>
        <w:t>Aperçu</w:t>
      </w:r>
    </w:p>
    <w:p w14:paraId="13F47C63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A noter : toutes les fonctionnalités ne sont pas encore activées</w:t>
      </w:r>
    </w:p>
    <w:p w14:paraId="3C0F3E07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Ouvrir l’éditeur de métadonnées </w:t>
      </w:r>
    </w:p>
    <w:p w14:paraId="2FCB796C" w14:textId="77777777" w:rsidR="00F96E65" w:rsidRPr="00F96E65" w:rsidRDefault="00F96E65" w:rsidP="00F96E65">
      <w:pPr>
        <w:numPr>
          <w:ilvl w:val="0"/>
          <w:numId w:val="9"/>
        </w:num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Soit Menu Ressources -&gt; Ouvrir l’éditeur de métadonnées</w:t>
      </w:r>
    </w:p>
    <w:p w14:paraId="2BFDE6C6" w14:textId="77777777" w:rsidR="00F96E65" w:rsidRPr="00F96E65" w:rsidRDefault="00F96E65" w:rsidP="00F96E65">
      <w:pPr>
        <w:numPr>
          <w:ilvl w:val="0"/>
          <w:numId w:val="9"/>
        </w:num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Soit Modifier une notice bibliographique</w:t>
      </w:r>
    </w:p>
    <w:p w14:paraId="5C776CCB" w14:textId="72E8D90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Cliquer sur 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« 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Nouvel éditeur de métadonnées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 »</w:t>
      </w:r>
    </w:p>
    <w:p w14:paraId="6C959AE9" w14:textId="1870FE63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drawing>
          <wp:inline distT="0" distB="0" distL="0" distR="0" wp14:anchorId="59629B69" wp14:editId="0E66CA71">
            <wp:extent cx="5476875" cy="1714500"/>
            <wp:effectExtent l="19050" t="19050" r="28575" b="190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14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264BD74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2DC4D8B1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Une nouvelle icône apparaît dans la barre de menu principal : c’est le bouton qui permet d’ouvrir ou de fermer l’éditeur de métadonnées</w:t>
      </w:r>
    </w:p>
    <w:p w14:paraId="73B9D810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Dans la barre de menu de l’éditeur un bouton Old editor permet de revenir dans l’ancien éditeur</w:t>
      </w:r>
    </w:p>
    <w:p w14:paraId="6FE76B52" w14:textId="429BA702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drawing>
          <wp:inline distT="0" distB="0" distL="0" distR="0" wp14:anchorId="36F0E0F0" wp14:editId="098EB3FD">
            <wp:extent cx="5760720" cy="1353820"/>
            <wp:effectExtent l="19050" t="19050" r="11430" b="1778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38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0D23F9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3F29D29C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lastRenderedPageBreak/>
        <w:t>Sélectionner la notice à modifier dans le bandeau latéral et l’ouvrir en cliquant</w:t>
      </w:r>
    </w:p>
    <w:p w14:paraId="42818BA1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Faire les modifications (ici ajout du PPN) : Menu Actions de modification -&gt; Ajouter un champ</w:t>
      </w:r>
    </w:p>
    <w:p w14:paraId="7ED67AF9" w14:textId="5583E8DC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drawing>
          <wp:inline distT="0" distB="0" distL="0" distR="0" wp14:anchorId="51F23034" wp14:editId="66E40AEC">
            <wp:extent cx="5760720" cy="1279525"/>
            <wp:effectExtent l="19050" t="19050" r="11430" b="1587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9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5389A59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3E90AA65" w14:textId="1AB0386E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Enregistrer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, puis d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ébloquer la notice 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(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Menu Actions de la notice -&gt; Débloquer la notice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)</w:t>
      </w:r>
    </w:p>
    <w:p w14:paraId="4EE5B7B6" w14:textId="49011518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drawing>
          <wp:inline distT="0" distB="0" distL="0" distR="0" wp14:anchorId="53300CA3" wp14:editId="6ECCFC89">
            <wp:extent cx="5760720" cy="2178685"/>
            <wp:effectExtent l="19050" t="19050" r="11430" b="1206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86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DC5A4D8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1B7BB1CF" w14:textId="5DD3423A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Le nouvel éditeur permet désormais d’ouvrir en une fois plusieurs notices. Pour cela, et depuis une liste de 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résultats, sélectionne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z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les notices à ouvrir dans l’éditeur et clique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z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sur 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« 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Déplacer sélection vers l’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E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diteur de métadonnées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 ». </w:t>
      </w:r>
    </w:p>
    <w:p w14:paraId="73610526" w14:textId="590498DE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drawing>
          <wp:inline distT="0" distB="0" distL="0" distR="0" wp14:anchorId="7561A992" wp14:editId="3BF59FEA">
            <wp:extent cx="5760720" cy="2781300"/>
            <wp:effectExtent l="19050" t="19050" r="11430" b="190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1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C0F876D" w14:textId="77777777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7D80EFB4" w14:textId="77777777" w:rsidR="00F96E65" w:rsidRDefault="00F96E65" w:rsidP="00F96E65"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lastRenderedPageBreak/>
        <w:t>Puis clique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z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sur l’icône de l’éditeur pour l’ouvrir. Les notices sont 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« </w:t>
      </w: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>déplacées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 » vers celui-ci. </w:t>
      </w:r>
    </w:p>
    <w:p w14:paraId="5678B6A3" w14:textId="5115316F" w:rsidR="00F96E65" w:rsidRDefault="00F96E65" w:rsidP="00F96E65">
      <w:pPr>
        <w:spacing w:after="0"/>
      </w:pPr>
      <w:r>
        <w:rPr>
          <w:noProof/>
          <w:lang w:eastAsia="fr-FR"/>
        </w:rPr>
        <w:drawing>
          <wp:inline distT="0" distB="0" distL="0" distR="0" wp14:anchorId="7F64E000" wp14:editId="4CED925F">
            <wp:extent cx="3876675" cy="1695450"/>
            <wp:effectExtent l="19050" t="19050" r="28575" b="190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95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5BF267B2" wp14:editId="77762273">
            <wp:extent cx="2466975" cy="1695450"/>
            <wp:effectExtent l="19050" t="19050" r="28575" b="1905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95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ACB4DEB" w14:textId="70037AEE" w:rsidR="00F96E65" w:rsidRP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48A8C593" w14:textId="17A6B6EF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71C4AD16" w14:textId="77777777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0DB065A8" w14:textId="1D1531B3" w:rsidR="00F96E65" w:rsidRPr="001833FA" w:rsidRDefault="00F96E65" w:rsidP="001833FA">
      <w:pPr>
        <w:pStyle w:val="Titre2"/>
        <w:rPr>
          <w:rFonts w:asciiTheme="minorHAnsi" w:eastAsia="Times New Roman" w:hAnsiTheme="minorHAnsi" w:cstheme="minorHAnsi"/>
          <w:color w:val="auto"/>
          <w:sz w:val="32"/>
          <w:lang w:eastAsia="fr-FR"/>
        </w:rPr>
      </w:pPr>
      <w:r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>Implémentation de nouvelles zones Unimarc</w:t>
      </w:r>
    </w:p>
    <w:p w14:paraId="5650E41A" w14:textId="45C7BEBE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Plusieurs nouvelles zones et sous-zones Unimarc des notices bibliographiques ont été implémentées avec cette version</w:t>
      </w:r>
      <w:r w:rsidR="001363FA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, parmi lesquelles la 214 et les sous-zones c et d de la 602, nouvellement prescrites dans le cadre de la transition bibliographique. </w:t>
      </w:r>
    </w:p>
    <w:p w14:paraId="28641F18" w14:textId="77777777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24099C89" w14:textId="77777777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1FC6EBD1" w14:textId="6713C0D9" w:rsidR="00F96E65" w:rsidRPr="001833FA" w:rsidRDefault="00F96E65" w:rsidP="001833FA">
      <w:pPr>
        <w:pStyle w:val="Titre2"/>
        <w:rPr>
          <w:rFonts w:asciiTheme="minorHAnsi" w:eastAsia="Times New Roman" w:hAnsiTheme="minorHAnsi" w:cstheme="minorHAnsi"/>
          <w:color w:val="auto"/>
          <w:sz w:val="32"/>
          <w:lang w:eastAsia="fr-FR"/>
        </w:rPr>
      </w:pPr>
      <w:r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>Correction d’un bug de la recherche avancée</w:t>
      </w:r>
    </w:p>
    <w:p w14:paraId="50336E22" w14:textId="091F5DD5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L’index « Date de création » applicable aux exemplaires dans la recherche avancée recherchait en fait la date de création des notices. Ce problème a été corrigé. </w:t>
      </w:r>
    </w:p>
    <w:p w14:paraId="135F5F8A" w14:textId="6523D39B" w:rsidR="001363FA" w:rsidRPr="00F96E65" w:rsidRDefault="001363FA" w:rsidP="00F96E65">
      <w:pPr>
        <w:jc w:val="both"/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De nouveaux index sont également disponibles pour la recherche d’exemplaires physiques depuis le formulaire de recherche avancée : les trois zones de notes statistiques. </w:t>
      </w:r>
    </w:p>
    <w:p w14:paraId="6014F06E" w14:textId="12956F8E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09E55841" w14:textId="77777777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1E58A340" w14:textId="221B981F" w:rsidR="00F96E65" w:rsidRPr="001833FA" w:rsidRDefault="00F96E65" w:rsidP="001833FA">
      <w:pPr>
        <w:pStyle w:val="Titre2"/>
        <w:rPr>
          <w:rFonts w:asciiTheme="minorHAnsi" w:eastAsia="Times New Roman" w:hAnsiTheme="minorHAnsi" w:cstheme="minorHAnsi"/>
          <w:color w:val="auto"/>
          <w:sz w:val="32"/>
          <w:lang w:eastAsia="fr-FR"/>
        </w:rPr>
      </w:pPr>
      <w:bookmarkStart w:id="8" w:name="_Hlk37953804"/>
      <w:r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>Recherche de portfolios dans la zone Communauté</w:t>
      </w:r>
    </w:p>
    <w:p w14:paraId="497B8852" w14:textId="10C2321D" w:rsidR="00F96E65" w:rsidRDefault="001363FA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Alma permet désormais d’afficher les informations de liens des portfolios depuis les listes de résultats de la zone Communauté. </w:t>
      </w:r>
    </w:p>
    <w:bookmarkEnd w:id="8"/>
    <w:p w14:paraId="05093EDB" w14:textId="46A1FB54" w:rsidR="001363FA" w:rsidRDefault="001363FA" w:rsidP="00F96E65">
      <w:pPr>
        <w:jc w:val="both"/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18"/>
          <w:u w:val="single"/>
          <w:shd w:val="clear" w:color="auto" w:fill="FFFFFF"/>
          <w:lang w:eastAsia="fr-FR"/>
        </w:rPr>
        <w:lastRenderedPageBreak/>
        <w:drawing>
          <wp:inline distT="0" distB="0" distL="0" distR="0" wp14:anchorId="4F339996" wp14:editId="31163D94">
            <wp:extent cx="5760720" cy="18059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4-16_18195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F1166" w14:textId="2260BC3E" w:rsidR="00F96E65" w:rsidRDefault="001363FA" w:rsidP="00F96E65">
      <w:pPr>
        <w:jc w:val="both"/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18"/>
          <w:u w:val="single"/>
          <w:shd w:val="clear" w:color="auto" w:fill="FFFFFF"/>
          <w:lang w:eastAsia="fr-FR"/>
        </w:rPr>
        <w:drawing>
          <wp:inline distT="0" distB="0" distL="0" distR="0" wp14:anchorId="742251CA" wp14:editId="09FD0ADC">
            <wp:extent cx="5760720" cy="2817495"/>
            <wp:effectExtent l="0" t="0" r="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-04-16_18201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8913" w14:textId="77777777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</w:pPr>
    </w:p>
    <w:p w14:paraId="7033A2C6" w14:textId="59D09D1C" w:rsidR="00F96E65" w:rsidRDefault="00F96E65" w:rsidP="00F96E65">
      <w:pPr>
        <w:jc w:val="both"/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</w:pPr>
    </w:p>
    <w:p w14:paraId="688CC5D6" w14:textId="471EEEBB" w:rsidR="001363FA" w:rsidRPr="001833FA" w:rsidRDefault="001363FA" w:rsidP="001833FA">
      <w:pPr>
        <w:pStyle w:val="Titre2"/>
        <w:rPr>
          <w:rFonts w:asciiTheme="minorHAnsi" w:eastAsia="Times New Roman" w:hAnsiTheme="minorHAnsi" w:cstheme="minorHAnsi"/>
          <w:color w:val="auto"/>
          <w:sz w:val="32"/>
          <w:lang w:eastAsia="fr-FR"/>
        </w:rPr>
      </w:pPr>
      <w:r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>Provenance des données CDI</w:t>
      </w:r>
    </w:p>
    <w:p w14:paraId="7B8E9827" w14:textId="7C524B54" w:rsidR="001363FA" w:rsidRDefault="001363FA" w:rsidP="001363F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1363FA">
        <w:rPr>
          <w:rFonts w:ascii="Helvetica" w:hAnsi="Helvetica"/>
          <w:color w:val="000000"/>
          <w:sz w:val="20"/>
          <w:szCs w:val="18"/>
          <w:shd w:val="clear" w:color="auto" w:fill="FFFFFF"/>
        </w:rPr>
        <w:t>Pour les établissements ayant déjà basculé sous CDI, un nouveau champ est désormais affiché au niveau de la collection électronique et disponible depuis le formulaire de recherche avancée : le champ « Provider coverage »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. </w:t>
      </w:r>
    </w:p>
    <w:p w14:paraId="7C20CB13" w14:textId="23DAEC78" w:rsidR="001363FA" w:rsidRPr="001363FA" w:rsidRDefault="001363FA" w:rsidP="001363F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Lorsque ce champ, non modifiable, est réglé sur « Oui », la collection est indexée dans CDI avec des métadonnées provenant directement de l’éditeur ; lorsqu’il est réglé sur « Non », au moins 80 % du contenu de la collection est indexé avec des métadonnées provenant d’autres éditeurs.  </w:t>
      </w:r>
    </w:p>
    <w:p w14:paraId="332810F7" w14:textId="48055737" w:rsidR="001363FA" w:rsidRDefault="001363FA" w:rsidP="00F96E65">
      <w:pPr>
        <w:jc w:val="both"/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</w:pPr>
    </w:p>
    <w:p w14:paraId="0FEFA184" w14:textId="6E2D3E20" w:rsidR="001833FA" w:rsidRDefault="001833FA" w:rsidP="00F96E65">
      <w:pPr>
        <w:jc w:val="both"/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</w:pPr>
    </w:p>
    <w:p w14:paraId="6E6F2E05" w14:textId="56DC7132" w:rsidR="001833FA" w:rsidRPr="001833FA" w:rsidRDefault="001833FA" w:rsidP="001833FA">
      <w:pPr>
        <w:pStyle w:val="Titre2"/>
        <w:rPr>
          <w:rFonts w:asciiTheme="minorHAnsi" w:eastAsia="Times New Roman" w:hAnsiTheme="minorHAnsi" w:cstheme="minorHAnsi"/>
          <w:color w:val="auto"/>
          <w:sz w:val="32"/>
          <w:lang w:eastAsia="fr-FR"/>
        </w:rPr>
      </w:pPr>
      <w:r w:rsidRPr="001833FA">
        <w:rPr>
          <w:rFonts w:asciiTheme="minorHAnsi" w:eastAsia="Times New Roman" w:hAnsiTheme="minorHAnsi" w:cstheme="minorHAnsi"/>
          <w:color w:val="auto"/>
          <w:sz w:val="32"/>
          <w:lang w:eastAsia="fr-FR"/>
        </w:rPr>
        <w:t>Mise à jour de l’API GET item</w:t>
      </w:r>
    </w:p>
    <w:p w14:paraId="64279922" w14:textId="25A36056" w:rsidR="00F96E65" w:rsidRDefault="001833FA" w:rsidP="00F96E65">
      <w:pPr>
        <w:jc w:val="both"/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L’</w:t>
      </w:r>
      <w:r w:rsidRPr="001833FA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'API 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permettant de</w:t>
      </w:r>
      <w:r w:rsidRPr="001833FA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récupérer les exemplaires permet d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ésormais d</w:t>
      </w:r>
      <w:r w:rsidRPr="001833FA">
        <w:rPr>
          <w:rFonts w:ascii="Helvetica" w:hAnsi="Helvetica"/>
          <w:color w:val="000000"/>
          <w:sz w:val="20"/>
          <w:szCs w:val="18"/>
          <w:shd w:val="clear" w:color="auto" w:fill="FFFFFF"/>
        </w:rPr>
        <w:t>e filtr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er selon la date de création et</w:t>
      </w:r>
      <w:r w:rsidRPr="001833FA">
        <w:rPr>
          <w:rFonts w:ascii="Helvetica" w:hAnsi="Helvetica"/>
          <w:color w:val="000000"/>
          <w:sz w:val="20"/>
          <w:szCs w:val="18"/>
          <w:shd w:val="clear" w:color="auto" w:fill="FFFFFF"/>
        </w:rPr>
        <w:t>/ou de modification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des exemplaires</w:t>
      </w:r>
    </w:p>
    <w:p w14:paraId="73A0BCA8" w14:textId="07F88589" w:rsidR="00A37F67" w:rsidRPr="00BE5B2D" w:rsidRDefault="00F96E65" w:rsidP="00F96E65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 w:rsidRPr="00F96E65">
        <w:rPr>
          <w:rFonts w:ascii="Helvetica" w:hAnsi="Helvetica"/>
          <w:color w:val="000000"/>
          <w:sz w:val="20"/>
          <w:szCs w:val="18"/>
          <w:u w:val="single"/>
          <w:shd w:val="clear" w:color="auto" w:fill="FFFFFF"/>
        </w:rPr>
        <w:t xml:space="preserve">   </w:t>
      </w:r>
      <w:r w:rsidR="00A37F67">
        <w:rPr>
          <w:sz w:val="40"/>
          <w:szCs w:val="40"/>
        </w:rPr>
        <w:br w:type="page"/>
      </w:r>
    </w:p>
    <w:p w14:paraId="3A36B3B1" w14:textId="1A2D79EE" w:rsidR="000E6664" w:rsidRDefault="001363FA" w:rsidP="000E6664">
      <w:pPr>
        <w:pStyle w:val="Titre1"/>
        <w:jc w:val="both"/>
        <w:rPr>
          <w:rFonts w:asciiTheme="minorHAnsi" w:hAnsiTheme="minorHAnsi"/>
          <w:color w:val="auto"/>
          <w:sz w:val="40"/>
          <w:szCs w:val="40"/>
        </w:rPr>
      </w:pPr>
      <w:bookmarkStart w:id="9" w:name="_Hlk37951861"/>
      <w:r>
        <w:rPr>
          <w:rFonts w:asciiTheme="minorHAnsi" w:hAnsiTheme="minorHAnsi"/>
          <w:color w:val="auto"/>
          <w:sz w:val="40"/>
          <w:szCs w:val="40"/>
        </w:rPr>
        <w:lastRenderedPageBreak/>
        <w:t>Alma Analytics</w:t>
      </w:r>
    </w:p>
    <w:p w14:paraId="5F986198" w14:textId="77777777" w:rsidR="000E6664" w:rsidRDefault="000E6664" w:rsidP="000E6664">
      <w:pPr>
        <w:jc w:val="both"/>
      </w:pPr>
    </w:p>
    <w:p w14:paraId="73E4EB51" w14:textId="06A7E6AE" w:rsidR="000E6664" w:rsidRPr="003A7E2C" w:rsidRDefault="001363FA" w:rsidP="000E6664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Nouveau domaine</w:t>
      </w:r>
    </w:p>
    <w:p w14:paraId="3024803B" w14:textId="0815B8C8" w:rsidR="000F01AA" w:rsidRDefault="001363FA" w:rsidP="00D53188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La version d’Alma du mois de mai s’accompagne de l’implémentation d’un nouveau domaine (API Usage), qui permet d’évaluer l’utilisation des API Alma. </w:t>
      </w:r>
    </w:p>
    <w:p w14:paraId="445E985D" w14:textId="3B8DE1F5" w:rsidR="001363FA" w:rsidRDefault="001363FA" w:rsidP="00D53188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4D223B43" w14:textId="3BC3CE89" w:rsidR="001363FA" w:rsidRDefault="001363FA" w:rsidP="00D53188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77BE394B" w14:textId="49F74A06" w:rsidR="001363FA" w:rsidRPr="003A7E2C" w:rsidRDefault="001363FA" w:rsidP="001363FA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Nouveaux champs</w:t>
      </w:r>
    </w:p>
    <w:p w14:paraId="57A8E376" w14:textId="12E5E63E" w:rsidR="001363FA" w:rsidRDefault="001363FA" w:rsidP="001363F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Il est désormais possible depuis le domaine E-Inventory d’obtenir le nombre de portfolios activés</w:t>
      </w:r>
      <w:r w:rsidR="000F613D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(« </w:t>
      </w:r>
      <w:r w:rsidR="000F613D" w:rsidRPr="000F613D">
        <w:rPr>
          <w:rFonts w:ascii="Helvetica" w:hAnsi="Helvetica"/>
          <w:color w:val="000000"/>
          <w:sz w:val="20"/>
          <w:szCs w:val="18"/>
          <w:shd w:val="clear" w:color="auto" w:fill="FFFFFF"/>
        </w:rPr>
        <w:t>No. of Available Portfolios</w:t>
      </w:r>
      <w:r w:rsidR="000F613D">
        <w:rPr>
          <w:rFonts w:ascii="Helvetica" w:hAnsi="Helvetica"/>
          <w:color w:val="000000"/>
          <w:sz w:val="20"/>
          <w:szCs w:val="18"/>
          <w:shd w:val="clear" w:color="auto" w:fill="FFFFFF"/>
        </w:rPr>
        <w:t> »)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et celui des portfolios non activés</w:t>
      </w:r>
      <w:r w:rsidR="000F613D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(« </w:t>
      </w:r>
      <w:r w:rsidR="000F613D" w:rsidRPr="000F613D">
        <w:rPr>
          <w:rFonts w:ascii="Helvetica" w:hAnsi="Helvetica"/>
          <w:color w:val="000000"/>
          <w:sz w:val="20"/>
          <w:szCs w:val="18"/>
          <w:shd w:val="clear" w:color="auto" w:fill="FFFFFF"/>
        </w:rPr>
        <w:t>No. of Unavailable Portfolios</w:t>
      </w:r>
      <w:r w:rsidR="000F613D">
        <w:rPr>
          <w:rFonts w:ascii="Helvetica" w:hAnsi="Helvetica"/>
          <w:color w:val="000000"/>
          <w:sz w:val="20"/>
          <w:szCs w:val="18"/>
          <w:shd w:val="clear" w:color="auto" w:fill="FFFFFF"/>
        </w:rPr>
        <w:t> »)</w:t>
      </w:r>
    </w:p>
    <w:p w14:paraId="2E1F08DE" w14:textId="620202AD" w:rsidR="001363FA" w:rsidRDefault="001363FA" w:rsidP="001363F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Surtout, </w:t>
      </w:r>
      <w:r w:rsidR="000F613D">
        <w:rPr>
          <w:rFonts w:ascii="Helvetica" w:hAnsi="Helvetica"/>
          <w:color w:val="000000"/>
          <w:sz w:val="20"/>
          <w:szCs w:val="18"/>
          <w:shd w:val="clear" w:color="auto" w:fill="FFFFFF"/>
        </w:rPr>
        <w:t>il est désormais possible de remonter le nombre de collections électroniques sans portfolio, grâce à l’ajout du champ « </w:t>
      </w:r>
      <w:r w:rsidR="000F613D" w:rsidRPr="000F613D">
        <w:rPr>
          <w:rFonts w:ascii="Helvetica" w:hAnsi="Helvetica"/>
          <w:color w:val="000000"/>
          <w:sz w:val="20"/>
          <w:szCs w:val="18"/>
          <w:shd w:val="clear" w:color="auto" w:fill="FFFFFF"/>
        </w:rPr>
        <w:t>No. of Electronic Collections Without Portfolios (In Repository)</w:t>
      </w:r>
      <w:r w:rsidR="000F613D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 »). </w:t>
      </w:r>
    </w:p>
    <w:p w14:paraId="0144C3D6" w14:textId="77777777" w:rsidR="001833FA" w:rsidRDefault="001833FA" w:rsidP="001833F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46199CAB" w14:textId="77777777" w:rsidR="001833FA" w:rsidRDefault="001833FA" w:rsidP="001833F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p w14:paraId="5F9C213D" w14:textId="02E5BCD6" w:rsidR="001833FA" w:rsidRPr="003A7E2C" w:rsidRDefault="001833FA" w:rsidP="001833FA">
      <w:pPr>
        <w:pStyle w:val="Titre2"/>
        <w:jc w:val="both"/>
        <w:rPr>
          <w:rFonts w:asciiTheme="minorHAnsi" w:hAnsiTheme="minorHAnsi"/>
          <w:color w:val="auto"/>
          <w:sz w:val="32"/>
        </w:rPr>
      </w:pPr>
      <w:r>
        <w:rPr>
          <w:rFonts w:asciiTheme="minorHAnsi" w:hAnsiTheme="minorHAnsi"/>
          <w:color w:val="auto"/>
          <w:sz w:val="32"/>
        </w:rPr>
        <w:t>Accès aux rapports depuis Alma</w:t>
      </w:r>
    </w:p>
    <w:p w14:paraId="61D72087" w14:textId="4BD15037" w:rsidR="001363FA" w:rsidRDefault="001833FA" w:rsidP="001833F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>Il est désormais</w:t>
      </w:r>
      <w:r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 possible d’autoriser l’accès à un rapport depuis Alma pour tous les rôles associés à un même profil. </w:t>
      </w:r>
      <w:r w:rsidR="001D5E23">
        <w:rPr>
          <w:rFonts w:ascii="Helvetica" w:hAnsi="Helvetica"/>
          <w:color w:val="000000"/>
          <w:sz w:val="20"/>
          <w:szCs w:val="18"/>
          <w:shd w:val="clear" w:color="auto" w:fill="FFFFFF"/>
        </w:rPr>
        <w:t xml:space="preserve">Il n’est toujours pas tenu compte, en revanche, des périmètres institutionnels rattachés à ces rôles. </w:t>
      </w:r>
    </w:p>
    <w:p w14:paraId="37FF305D" w14:textId="3457FD4A" w:rsidR="001D5E23" w:rsidRDefault="001D5E23" w:rsidP="001833F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18"/>
          <w:shd w:val="clear" w:color="auto" w:fill="FFFFFF"/>
          <w:lang w:eastAsia="fr-FR"/>
        </w:rPr>
        <w:drawing>
          <wp:inline distT="0" distB="0" distL="0" distR="0" wp14:anchorId="2E9CC20C" wp14:editId="4AF8CAD7">
            <wp:extent cx="5760720" cy="16967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-04-17_094955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2639F" w14:textId="77777777" w:rsidR="001833FA" w:rsidRDefault="001833FA" w:rsidP="001833FA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bookmarkEnd w:id="0"/>
    <w:bookmarkEnd w:id="9"/>
    <w:p w14:paraId="3BB43EC0" w14:textId="022DA196" w:rsidR="00D808A9" w:rsidRPr="000F613D" w:rsidRDefault="00D808A9" w:rsidP="000F613D">
      <w:pPr>
        <w:jc w:val="both"/>
        <w:rPr>
          <w:rFonts w:ascii="Helvetica" w:hAnsi="Helvetica"/>
          <w:color w:val="000000"/>
          <w:sz w:val="20"/>
          <w:szCs w:val="18"/>
          <w:shd w:val="clear" w:color="auto" w:fill="FFFFFF"/>
        </w:rPr>
      </w:pPr>
    </w:p>
    <w:sectPr w:rsidR="00D808A9" w:rsidRPr="000F613D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00DA5" w14:textId="77777777" w:rsidR="005D3BFC" w:rsidRDefault="005D3BFC" w:rsidP="0000222F">
      <w:pPr>
        <w:spacing w:after="0" w:line="240" w:lineRule="auto"/>
      </w:pPr>
      <w:r>
        <w:separator/>
      </w:r>
    </w:p>
  </w:endnote>
  <w:endnote w:type="continuationSeparator" w:id="0">
    <w:p w14:paraId="6B654836" w14:textId="77777777" w:rsidR="005D3BFC" w:rsidRDefault="005D3BFC" w:rsidP="0000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706716"/>
      <w:docPartObj>
        <w:docPartGallery w:val="Page Numbers (Bottom of Page)"/>
        <w:docPartUnique/>
      </w:docPartObj>
    </w:sdtPr>
    <w:sdtEndPr/>
    <w:sdtContent>
      <w:p w14:paraId="65BB0FCF" w14:textId="7EB61F89" w:rsidR="00347DAF" w:rsidRDefault="00347DAF">
        <w:pPr>
          <w:pStyle w:val="Pieddepage"/>
          <w:jc w:val="right"/>
        </w:pPr>
        <w:r w:rsidRPr="004B003B">
          <w:rPr>
            <w:rFonts w:ascii="Constantia" w:hAnsi="Constantia"/>
            <w:sz w:val="24"/>
          </w:rPr>
          <w:fldChar w:fldCharType="begin"/>
        </w:r>
        <w:r w:rsidRPr="004B003B">
          <w:rPr>
            <w:rFonts w:ascii="Constantia" w:hAnsi="Constantia"/>
            <w:sz w:val="24"/>
          </w:rPr>
          <w:instrText>PAGE   \* MERGEFORMAT</w:instrText>
        </w:r>
        <w:r w:rsidRPr="004B003B">
          <w:rPr>
            <w:rFonts w:ascii="Constantia" w:hAnsi="Constantia"/>
            <w:sz w:val="24"/>
          </w:rPr>
          <w:fldChar w:fldCharType="separate"/>
        </w:r>
        <w:r w:rsidR="004B795F">
          <w:rPr>
            <w:rFonts w:ascii="Constantia" w:hAnsi="Constantia"/>
            <w:noProof/>
            <w:sz w:val="24"/>
          </w:rPr>
          <w:t>8</w:t>
        </w:r>
        <w:r w:rsidRPr="004B003B">
          <w:rPr>
            <w:rFonts w:ascii="Constantia" w:hAnsi="Constantia"/>
            <w:sz w:val="24"/>
          </w:rPr>
          <w:fldChar w:fldCharType="end"/>
        </w:r>
      </w:p>
    </w:sdtContent>
  </w:sdt>
  <w:p w14:paraId="545A5A6E" w14:textId="77777777" w:rsidR="00347DAF" w:rsidRPr="0000222F" w:rsidRDefault="00347DAF">
    <w:pPr>
      <w:pStyle w:val="Pieddepage"/>
      <w:rPr>
        <w:rFonts w:ascii="Constantia" w:hAnsi="Constant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AC03" w14:textId="77777777" w:rsidR="005D3BFC" w:rsidRDefault="005D3BFC" w:rsidP="0000222F">
      <w:pPr>
        <w:spacing w:after="0" w:line="240" w:lineRule="auto"/>
      </w:pPr>
      <w:r>
        <w:separator/>
      </w:r>
    </w:p>
  </w:footnote>
  <w:footnote w:type="continuationSeparator" w:id="0">
    <w:p w14:paraId="4F57CB3B" w14:textId="77777777" w:rsidR="005D3BFC" w:rsidRDefault="005D3BFC" w:rsidP="0000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0BC2" w14:textId="3930060B" w:rsidR="00347DAF" w:rsidRDefault="00347DAF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9BC82" wp14:editId="71B188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44AAA1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nstantia" w:hAnsi="Constantia"/>
          <w:color w:val="000000" w:themeColor="text1"/>
          <w:sz w:val="20"/>
          <w:szCs w:val="20"/>
        </w:rPr>
        <w:alias w:val="Titre"/>
        <w:id w:val="15524250"/>
        <w:placeholder>
          <w:docPart w:val="1F140EDFA42749DCA90E4D7A91410D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808A9">
          <w:rPr>
            <w:rFonts w:ascii="Constantia" w:hAnsi="Constantia"/>
            <w:color w:val="000000" w:themeColor="text1"/>
            <w:sz w:val="20"/>
            <w:szCs w:val="20"/>
          </w:rPr>
          <w:t>Note de version Alma – M</w:t>
        </w:r>
        <w:r w:rsidR="00090B99">
          <w:rPr>
            <w:rFonts w:ascii="Constantia" w:hAnsi="Constantia"/>
            <w:color w:val="000000" w:themeColor="text1"/>
            <w:sz w:val="20"/>
            <w:szCs w:val="20"/>
          </w:rPr>
          <w:t>ai</w:t>
        </w:r>
        <w:r w:rsidR="00D808A9">
          <w:rPr>
            <w:rFonts w:ascii="Constantia" w:hAnsi="Constantia"/>
            <w:color w:val="000000" w:themeColor="text1"/>
            <w:sz w:val="20"/>
            <w:szCs w:val="20"/>
          </w:rPr>
          <w:t xml:space="preserve"> 2020</w:t>
        </w:r>
      </w:sdtContent>
    </w:sdt>
  </w:p>
  <w:p w14:paraId="09C2C149" w14:textId="77777777" w:rsidR="00347DAF" w:rsidRDefault="00347D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75F"/>
    <w:multiLevelType w:val="hybridMultilevel"/>
    <w:tmpl w:val="28329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6166"/>
    <w:multiLevelType w:val="multilevel"/>
    <w:tmpl w:val="ABF09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D6B0E"/>
    <w:multiLevelType w:val="hybridMultilevel"/>
    <w:tmpl w:val="8A20847A"/>
    <w:lvl w:ilvl="0" w:tplc="040C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96F7037"/>
    <w:multiLevelType w:val="hybridMultilevel"/>
    <w:tmpl w:val="52E446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3FCD"/>
    <w:multiLevelType w:val="hybridMultilevel"/>
    <w:tmpl w:val="96CA5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365E"/>
    <w:multiLevelType w:val="multilevel"/>
    <w:tmpl w:val="CD7A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350C7F"/>
    <w:multiLevelType w:val="hybridMultilevel"/>
    <w:tmpl w:val="3D7A0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119A"/>
    <w:multiLevelType w:val="hybridMultilevel"/>
    <w:tmpl w:val="F7FAD10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A26BB3"/>
    <w:multiLevelType w:val="hybridMultilevel"/>
    <w:tmpl w:val="16E225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A38C7"/>
    <w:multiLevelType w:val="hybridMultilevel"/>
    <w:tmpl w:val="D2A6A512"/>
    <w:lvl w:ilvl="0" w:tplc="419EB2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091BC3"/>
    <w:multiLevelType w:val="multilevel"/>
    <w:tmpl w:val="9D3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FE2B39"/>
    <w:multiLevelType w:val="hybridMultilevel"/>
    <w:tmpl w:val="26EE00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4"/>
    <w:rsid w:val="0000222F"/>
    <w:rsid w:val="00005002"/>
    <w:rsid w:val="00012B9E"/>
    <w:rsid w:val="00014F96"/>
    <w:rsid w:val="00024F2F"/>
    <w:rsid w:val="00025E7E"/>
    <w:rsid w:val="0002716A"/>
    <w:rsid w:val="0003678A"/>
    <w:rsid w:val="00036CBD"/>
    <w:rsid w:val="000401DE"/>
    <w:rsid w:val="00041564"/>
    <w:rsid w:val="000511AD"/>
    <w:rsid w:val="00062C53"/>
    <w:rsid w:val="000736F5"/>
    <w:rsid w:val="000873D3"/>
    <w:rsid w:val="00090297"/>
    <w:rsid w:val="00090B99"/>
    <w:rsid w:val="000B5F05"/>
    <w:rsid w:val="000C59D6"/>
    <w:rsid w:val="000D3C15"/>
    <w:rsid w:val="000D65EB"/>
    <w:rsid w:val="000D6D4E"/>
    <w:rsid w:val="000E47BE"/>
    <w:rsid w:val="000E6664"/>
    <w:rsid w:val="000F01AA"/>
    <w:rsid w:val="000F3190"/>
    <w:rsid w:val="000F613D"/>
    <w:rsid w:val="000F747B"/>
    <w:rsid w:val="00102B8A"/>
    <w:rsid w:val="0010457B"/>
    <w:rsid w:val="00105490"/>
    <w:rsid w:val="00111459"/>
    <w:rsid w:val="00112A0B"/>
    <w:rsid w:val="00117E9B"/>
    <w:rsid w:val="001201B4"/>
    <w:rsid w:val="001363FA"/>
    <w:rsid w:val="00145FE2"/>
    <w:rsid w:val="001470CD"/>
    <w:rsid w:val="001650B2"/>
    <w:rsid w:val="001701A0"/>
    <w:rsid w:val="00172A1B"/>
    <w:rsid w:val="001833FA"/>
    <w:rsid w:val="001A1BD8"/>
    <w:rsid w:val="001A4E59"/>
    <w:rsid w:val="001B18ED"/>
    <w:rsid w:val="001C53F4"/>
    <w:rsid w:val="001C78C1"/>
    <w:rsid w:val="001D4763"/>
    <w:rsid w:val="001D5E23"/>
    <w:rsid w:val="001E03D0"/>
    <w:rsid w:val="001E3A89"/>
    <w:rsid w:val="001F1BC0"/>
    <w:rsid w:val="0020526F"/>
    <w:rsid w:val="00214FC2"/>
    <w:rsid w:val="00261FDF"/>
    <w:rsid w:val="00262B13"/>
    <w:rsid w:val="00270474"/>
    <w:rsid w:val="00272361"/>
    <w:rsid w:val="002725CC"/>
    <w:rsid w:val="00274673"/>
    <w:rsid w:val="00275004"/>
    <w:rsid w:val="00285875"/>
    <w:rsid w:val="00291304"/>
    <w:rsid w:val="0029509B"/>
    <w:rsid w:val="002A70D3"/>
    <w:rsid w:val="002A7A9B"/>
    <w:rsid w:val="002C314B"/>
    <w:rsid w:val="002C4D55"/>
    <w:rsid w:val="002D7AE5"/>
    <w:rsid w:val="002F1327"/>
    <w:rsid w:val="002F7152"/>
    <w:rsid w:val="002F7B16"/>
    <w:rsid w:val="00307E00"/>
    <w:rsid w:val="00311A0C"/>
    <w:rsid w:val="00312B5C"/>
    <w:rsid w:val="00314C37"/>
    <w:rsid w:val="00321A9A"/>
    <w:rsid w:val="003224A7"/>
    <w:rsid w:val="0032429A"/>
    <w:rsid w:val="003251D8"/>
    <w:rsid w:val="00326913"/>
    <w:rsid w:val="003474A7"/>
    <w:rsid w:val="00347DAF"/>
    <w:rsid w:val="00355D48"/>
    <w:rsid w:val="00361902"/>
    <w:rsid w:val="00364FCC"/>
    <w:rsid w:val="00384C81"/>
    <w:rsid w:val="00386DFF"/>
    <w:rsid w:val="003A0D01"/>
    <w:rsid w:val="003A762F"/>
    <w:rsid w:val="003A7E2C"/>
    <w:rsid w:val="003B2431"/>
    <w:rsid w:val="003C7825"/>
    <w:rsid w:val="003D3BED"/>
    <w:rsid w:val="003E09B8"/>
    <w:rsid w:val="003E38D0"/>
    <w:rsid w:val="003E5F2E"/>
    <w:rsid w:val="003F402B"/>
    <w:rsid w:val="00415DFF"/>
    <w:rsid w:val="004206D0"/>
    <w:rsid w:val="00441B1F"/>
    <w:rsid w:val="00443F9F"/>
    <w:rsid w:val="00454796"/>
    <w:rsid w:val="0045601C"/>
    <w:rsid w:val="0045770F"/>
    <w:rsid w:val="0045797F"/>
    <w:rsid w:val="004664C3"/>
    <w:rsid w:val="004673BE"/>
    <w:rsid w:val="004679EA"/>
    <w:rsid w:val="0047260A"/>
    <w:rsid w:val="00474B3A"/>
    <w:rsid w:val="00481AA2"/>
    <w:rsid w:val="0048554F"/>
    <w:rsid w:val="00486028"/>
    <w:rsid w:val="00486537"/>
    <w:rsid w:val="004902A6"/>
    <w:rsid w:val="00491A58"/>
    <w:rsid w:val="00491C52"/>
    <w:rsid w:val="00494A30"/>
    <w:rsid w:val="004A67C3"/>
    <w:rsid w:val="004A6BC9"/>
    <w:rsid w:val="004A7E19"/>
    <w:rsid w:val="004A7E7A"/>
    <w:rsid w:val="004B003B"/>
    <w:rsid w:val="004B5E2C"/>
    <w:rsid w:val="004B795F"/>
    <w:rsid w:val="004D0282"/>
    <w:rsid w:val="004E50F5"/>
    <w:rsid w:val="004E6CAC"/>
    <w:rsid w:val="005007A3"/>
    <w:rsid w:val="005214E6"/>
    <w:rsid w:val="00524A5D"/>
    <w:rsid w:val="00535A67"/>
    <w:rsid w:val="005370F4"/>
    <w:rsid w:val="0054008B"/>
    <w:rsid w:val="00540F8B"/>
    <w:rsid w:val="00541138"/>
    <w:rsid w:val="00550E1E"/>
    <w:rsid w:val="0055368B"/>
    <w:rsid w:val="005549C4"/>
    <w:rsid w:val="005656F2"/>
    <w:rsid w:val="005772B3"/>
    <w:rsid w:val="00583BDD"/>
    <w:rsid w:val="00585D27"/>
    <w:rsid w:val="005A408F"/>
    <w:rsid w:val="005A4119"/>
    <w:rsid w:val="005B6C9E"/>
    <w:rsid w:val="005C0361"/>
    <w:rsid w:val="005C2C1F"/>
    <w:rsid w:val="005D2440"/>
    <w:rsid w:val="005D3BFC"/>
    <w:rsid w:val="005D75FA"/>
    <w:rsid w:val="005E08E8"/>
    <w:rsid w:val="005E4B7B"/>
    <w:rsid w:val="005E6A4B"/>
    <w:rsid w:val="005E6DCD"/>
    <w:rsid w:val="005F052D"/>
    <w:rsid w:val="006148A9"/>
    <w:rsid w:val="00636B65"/>
    <w:rsid w:val="00640F75"/>
    <w:rsid w:val="00657179"/>
    <w:rsid w:val="00681DFC"/>
    <w:rsid w:val="00682C02"/>
    <w:rsid w:val="0068354E"/>
    <w:rsid w:val="00695161"/>
    <w:rsid w:val="00695988"/>
    <w:rsid w:val="006B38F8"/>
    <w:rsid w:val="006B3C74"/>
    <w:rsid w:val="006B7860"/>
    <w:rsid w:val="006C3D7A"/>
    <w:rsid w:val="006C5B78"/>
    <w:rsid w:val="006D416A"/>
    <w:rsid w:val="006E6104"/>
    <w:rsid w:val="006F79D3"/>
    <w:rsid w:val="00703D19"/>
    <w:rsid w:val="00707575"/>
    <w:rsid w:val="00721FB1"/>
    <w:rsid w:val="00722E33"/>
    <w:rsid w:val="00735F64"/>
    <w:rsid w:val="00737F51"/>
    <w:rsid w:val="007423BA"/>
    <w:rsid w:val="00744D74"/>
    <w:rsid w:val="00745935"/>
    <w:rsid w:val="00754F77"/>
    <w:rsid w:val="00761709"/>
    <w:rsid w:val="00763E4A"/>
    <w:rsid w:val="0076624E"/>
    <w:rsid w:val="00775133"/>
    <w:rsid w:val="00784A00"/>
    <w:rsid w:val="00791893"/>
    <w:rsid w:val="007A586E"/>
    <w:rsid w:val="007A5C14"/>
    <w:rsid w:val="007B4945"/>
    <w:rsid w:val="007C474D"/>
    <w:rsid w:val="007E723C"/>
    <w:rsid w:val="007F1B48"/>
    <w:rsid w:val="00802C71"/>
    <w:rsid w:val="00805200"/>
    <w:rsid w:val="008069AF"/>
    <w:rsid w:val="008071FD"/>
    <w:rsid w:val="00813BFE"/>
    <w:rsid w:val="00817E7F"/>
    <w:rsid w:val="0082353A"/>
    <w:rsid w:val="008275DC"/>
    <w:rsid w:val="00830066"/>
    <w:rsid w:val="0083132C"/>
    <w:rsid w:val="008358D1"/>
    <w:rsid w:val="00837E79"/>
    <w:rsid w:val="00854DA3"/>
    <w:rsid w:val="00860D89"/>
    <w:rsid w:val="00861AD0"/>
    <w:rsid w:val="008626E3"/>
    <w:rsid w:val="00863139"/>
    <w:rsid w:val="00863DDD"/>
    <w:rsid w:val="00892E14"/>
    <w:rsid w:val="00894A43"/>
    <w:rsid w:val="008A04F6"/>
    <w:rsid w:val="008B20F5"/>
    <w:rsid w:val="008B2251"/>
    <w:rsid w:val="008B4BE1"/>
    <w:rsid w:val="008B5D6E"/>
    <w:rsid w:val="008B6CE6"/>
    <w:rsid w:val="008C3035"/>
    <w:rsid w:val="008C63D9"/>
    <w:rsid w:val="008D0B16"/>
    <w:rsid w:val="008D5E7F"/>
    <w:rsid w:val="008D669B"/>
    <w:rsid w:val="008E2F8E"/>
    <w:rsid w:val="0090602D"/>
    <w:rsid w:val="00921EF0"/>
    <w:rsid w:val="00936142"/>
    <w:rsid w:val="0094093B"/>
    <w:rsid w:val="0094099C"/>
    <w:rsid w:val="0095066F"/>
    <w:rsid w:val="00957BB2"/>
    <w:rsid w:val="00961C39"/>
    <w:rsid w:val="00967E80"/>
    <w:rsid w:val="00976C63"/>
    <w:rsid w:val="00984A2A"/>
    <w:rsid w:val="009868D5"/>
    <w:rsid w:val="0099021A"/>
    <w:rsid w:val="009922B4"/>
    <w:rsid w:val="00997C68"/>
    <w:rsid w:val="009B26B5"/>
    <w:rsid w:val="009C0F47"/>
    <w:rsid w:val="009C2364"/>
    <w:rsid w:val="009D1495"/>
    <w:rsid w:val="009D56DD"/>
    <w:rsid w:val="009D7D87"/>
    <w:rsid w:val="009F7DE1"/>
    <w:rsid w:val="00A000A4"/>
    <w:rsid w:val="00A032F5"/>
    <w:rsid w:val="00A16404"/>
    <w:rsid w:val="00A20C95"/>
    <w:rsid w:val="00A2599D"/>
    <w:rsid w:val="00A30750"/>
    <w:rsid w:val="00A331DC"/>
    <w:rsid w:val="00A37F67"/>
    <w:rsid w:val="00A432A7"/>
    <w:rsid w:val="00A51303"/>
    <w:rsid w:val="00A616A7"/>
    <w:rsid w:val="00A624BB"/>
    <w:rsid w:val="00A75AC2"/>
    <w:rsid w:val="00A77C5E"/>
    <w:rsid w:val="00A830B5"/>
    <w:rsid w:val="00A9096E"/>
    <w:rsid w:val="00A97418"/>
    <w:rsid w:val="00AA2219"/>
    <w:rsid w:val="00AA361A"/>
    <w:rsid w:val="00AA52A5"/>
    <w:rsid w:val="00AB040F"/>
    <w:rsid w:val="00AB09C4"/>
    <w:rsid w:val="00AB6035"/>
    <w:rsid w:val="00AD0E4D"/>
    <w:rsid w:val="00AD218A"/>
    <w:rsid w:val="00AD5CF2"/>
    <w:rsid w:val="00AE1C5E"/>
    <w:rsid w:val="00AF0106"/>
    <w:rsid w:val="00AF1418"/>
    <w:rsid w:val="00B202CE"/>
    <w:rsid w:val="00B22555"/>
    <w:rsid w:val="00B433E8"/>
    <w:rsid w:val="00B43534"/>
    <w:rsid w:val="00B45BD6"/>
    <w:rsid w:val="00B60CFB"/>
    <w:rsid w:val="00B62FD4"/>
    <w:rsid w:val="00B65A84"/>
    <w:rsid w:val="00B65AA3"/>
    <w:rsid w:val="00B7042F"/>
    <w:rsid w:val="00B733AC"/>
    <w:rsid w:val="00B9082F"/>
    <w:rsid w:val="00B918BB"/>
    <w:rsid w:val="00B9329E"/>
    <w:rsid w:val="00BB4679"/>
    <w:rsid w:val="00BC0A6A"/>
    <w:rsid w:val="00BD096F"/>
    <w:rsid w:val="00BD2AA4"/>
    <w:rsid w:val="00BD4AD5"/>
    <w:rsid w:val="00BD53C0"/>
    <w:rsid w:val="00BE5B2D"/>
    <w:rsid w:val="00BF425D"/>
    <w:rsid w:val="00BF4759"/>
    <w:rsid w:val="00BF5A00"/>
    <w:rsid w:val="00C06A60"/>
    <w:rsid w:val="00C0733A"/>
    <w:rsid w:val="00C07835"/>
    <w:rsid w:val="00C21EBA"/>
    <w:rsid w:val="00C357BA"/>
    <w:rsid w:val="00C35CE1"/>
    <w:rsid w:val="00C36024"/>
    <w:rsid w:val="00C441E8"/>
    <w:rsid w:val="00C44BA5"/>
    <w:rsid w:val="00C54E4F"/>
    <w:rsid w:val="00C632B8"/>
    <w:rsid w:val="00C65FCD"/>
    <w:rsid w:val="00C7078F"/>
    <w:rsid w:val="00C72F09"/>
    <w:rsid w:val="00C771BF"/>
    <w:rsid w:val="00C84664"/>
    <w:rsid w:val="00C96FF6"/>
    <w:rsid w:val="00CA085C"/>
    <w:rsid w:val="00CA19C1"/>
    <w:rsid w:val="00CB5465"/>
    <w:rsid w:val="00CB7EB4"/>
    <w:rsid w:val="00CC11CF"/>
    <w:rsid w:val="00CD1F44"/>
    <w:rsid w:val="00CE1D11"/>
    <w:rsid w:val="00CF1D7F"/>
    <w:rsid w:val="00D015CD"/>
    <w:rsid w:val="00D03220"/>
    <w:rsid w:val="00D17106"/>
    <w:rsid w:val="00D24698"/>
    <w:rsid w:val="00D24F72"/>
    <w:rsid w:val="00D25941"/>
    <w:rsid w:val="00D34BC5"/>
    <w:rsid w:val="00D36CF5"/>
    <w:rsid w:val="00D4164C"/>
    <w:rsid w:val="00D42384"/>
    <w:rsid w:val="00D426EA"/>
    <w:rsid w:val="00D45973"/>
    <w:rsid w:val="00D50587"/>
    <w:rsid w:val="00D50A0E"/>
    <w:rsid w:val="00D50E3E"/>
    <w:rsid w:val="00D52E7B"/>
    <w:rsid w:val="00D53188"/>
    <w:rsid w:val="00D55233"/>
    <w:rsid w:val="00D65525"/>
    <w:rsid w:val="00D70AEC"/>
    <w:rsid w:val="00D74046"/>
    <w:rsid w:val="00D75DC5"/>
    <w:rsid w:val="00D77664"/>
    <w:rsid w:val="00D808A9"/>
    <w:rsid w:val="00D872C1"/>
    <w:rsid w:val="00D94796"/>
    <w:rsid w:val="00DA5EAF"/>
    <w:rsid w:val="00DB33B9"/>
    <w:rsid w:val="00DB7EF8"/>
    <w:rsid w:val="00DC1426"/>
    <w:rsid w:val="00DD1B82"/>
    <w:rsid w:val="00DD7033"/>
    <w:rsid w:val="00DF1B14"/>
    <w:rsid w:val="00DF2422"/>
    <w:rsid w:val="00E0351C"/>
    <w:rsid w:val="00E039CD"/>
    <w:rsid w:val="00E079EB"/>
    <w:rsid w:val="00E07DCD"/>
    <w:rsid w:val="00E10427"/>
    <w:rsid w:val="00E11825"/>
    <w:rsid w:val="00E122BD"/>
    <w:rsid w:val="00E171FB"/>
    <w:rsid w:val="00E177DE"/>
    <w:rsid w:val="00E21332"/>
    <w:rsid w:val="00E2682A"/>
    <w:rsid w:val="00E26911"/>
    <w:rsid w:val="00E324D2"/>
    <w:rsid w:val="00E40E33"/>
    <w:rsid w:val="00E53580"/>
    <w:rsid w:val="00E538CA"/>
    <w:rsid w:val="00E5653F"/>
    <w:rsid w:val="00E60315"/>
    <w:rsid w:val="00E73552"/>
    <w:rsid w:val="00E73D26"/>
    <w:rsid w:val="00E8143C"/>
    <w:rsid w:val="00E93246"/>
    <w:rsid w:val="00E93B8F"/>
    <w:rsid w:val="00EA6047"/>
    <w:rsid w:val="00EA6656"/>
    <w:rsid w:val="00EA7543"/>
    <w:rsid w:val="00EB032C"/>
    <w:rsid w:val="00EB1500"/>
    <w:rsid w:val="00EB4876"/>
    <w:rsid w:val="00EB4EBC"/>
    <w:rsid w:val="00EB73E4"/>
    <w:rsid w:val="00EC0880"/>
    <w:rsid w:val="00EC217E"/>
    <w:rsid w:val="00EC6CA5"/>
    <w:rsid w:val="00ED701C"/>
    <w:rsid w:val="00ED7049"/>
    <w:rsid w:val="00EE16BA"/>
    <w:rsid w:val="00EE6D01"/>
    <w:rsid w:val="00F0245E"/>
    <w:rsid w:val="00F02D7D"/>
    <w:rsid w:val="00F07BFE"/>
    <w:rsid w:val="00F106C0"/>
    <w:rsid w:val="00F12A10"/>
    <w:rsid w:val="00F14E5C"/>
    <w:rsid w:val="00F22251"/>
    <w:rsid w:val="00F25316"/>
    <w:rsid w:val="00F2661B"/>
    <w:rsid w:val="00F33748"/>
    <w:rsid w:val="00F35C24"/>
    <w:rsid w:val="00F3668E"/>
    <w:rsid w:val="00F463DC"/>
    <w:rsid w:val="00F640D9"/>
    <w:rsid w:val="00F670DA"/>
    <w:rsid w:val="00F70187"/>
    <w:rsid w:val="00F721C9"/>
    <w:rsid w:val="00F74BB6"/>
    <w:rsid w:val="00F76866"/>
    <w:rsid w:val="00F8013B"/>
    <w:rsid w:val="00F837A5"/>
    <w:rsid w:val="00F96E65"/>
    <w:rsid w:val="00FB24A7"/>
    <w:rsid w:val="00FB391E"/>
    <w:rsid w:val="00FC1D38"/>
    <w:rsid w:val="00FC2455"/>
    <w:rsid w:val="00FC3200"/>
    <w:rsid w:val="00FC7650"/>
    <w:rsid w:val="00FD5AC0"/>
    <w:rsid w:val="00FD7437"/>
    <w:rsid w:val="00FE5C75"/>
    <w:rsid w:val="00FE670C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33CAC"/>
  <w15:docId w15:val="{698A0DC5-CC24-462B-B9EB-8F2216C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65"/>
  </w:style>
  <w:style w:type="paragraph" w:styleId="Titre1">
    <w:name w:val="heading 1"/>
    <w:basedOn w:val="Normal"/>
    <w:next w:val="Normal"/>
    <w:link w:val="Titre1Car"/>
    <w:uiPriority w:val="9"/>
    <w:qFormat/>
    <w:rsid w:val="00992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4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A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92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122B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4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22F"/>
  </w:style>
  <w:style w:type="paragraph" w:styleId="Pieddepage">
    <w:name w:val="footer"/>
    <w:basedOn w:val="Normal"/>
    <w:link w:val="PieddepageCar"/>
    <w:uiPriority w:val="99"/>
    <w:unhideWhenUsed/>
    <w:rsid w:val="0000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22F"/>
  </w:style>
  <w:style w:type="paragraph" w:styleId="Titre">
    <w:name w:val="Title"/>
    <w:basedOn w:val="Normal"/>
    <w:next w:val="Normal"/>
    <w:link w:val="TitreCar"/>
    <w:uiPriority w:val="10"/>
    <w:qFormat/>
    <w:rsid w:val="00002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22F"/>
    <w:rPr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00222F"/>
    <w:rPr>
      <w:i/>
      <w:iCs/>
      <w:color w:val="404040" w:themeColor="text1" w:themeTint="BF"/>
    </w:rPr>
  </w:style>
  <w:style w:type="table" w:styleId="Grilledutableau">
    <w:name w:val="Table Grid"/>
    <w:basedOn w:val="TableauNormal"/>
    <w:uiPriority w:val="39"/>
    <w:rsid w:val="0028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6FF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224A7"/>
    <w:rPr>
      <w:color w:val="808080"/>
      <w:shd w:val="clear" w:color="auto" w:fill="E6E6E6"/>
    </w:rPr>
  </w:style>
  <w:style w:type="character" w:customStyle="1" w:styleId="Titre4Car">
    <w:name w:val="Titre 4 Car"/>
    <w:basedOn w:val="Policepardfaut"/>
    <w:link w:val="Titre4"/>
    <w:uiPriority w:val="9"/>
    <w:rsid w:val="00CA08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A5C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6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6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6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00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863DDD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9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0/Alma_2020_Release_Notes?mon=202005BAS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s://proquest.libguides.com/oasis-francais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140EDFA42749DCA90E4D7A91410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7C54-56E8-423A-BD2E-5E39C7B3D838}"/>
      </w:docPartPr>
      <w:docPartBody>
        <w:p w:rsidR="006E63FF" w:rsidRDefault="006E63FF" w:rsidP="006E63FF">
          <w:pPr>
            <w:pStyle w:val="1F140EDFA42749DCA90E4D7A91410D16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F"/>
    <w:rsid w:val="00253EAA"/>
    <w:rsid w:val="003942C8"/>
    <w:rsid w:val="003C51E5"/>
    <w:rsid w:val="006E63FF"/>
    <w:rsid w:val="006E761A"/>
    <w:rsid w:val="008F5EF0"/>
    <w:rsid w:val="00B20AE5"/>
    <w:rsid w:val="00E22BFD"/>
    <w:rsid w:val="00ED703A"/>
    <w:rsid w:val="00F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45C7CAF90648A9B5CE41C5832E3BAA">
    <w:name w:val="A645C7CAF90648A9B5CE41C5832E3BAA"/>
    <w:rsid w:val="006E63FF"/>
  </w:style>
  <w:style w:type="paragraph" w:customStyle="1" w:styleId="1F140EDFA42749DCA90E4D7A91410D16">
    <w:name w:val="1F140EDFA42749DCA90E4D7A91410D16"/>
    <w:rsid w:val="006E6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3947-97A4-4BF7-8425-4D430FDE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1062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version Alma – Mai 2020</vt:lpstr>
    </vt:vector>
  </TitlesOfParts>
  <Company>Microsoft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version Alma – Mai 2020</dc:title>
  <dc:subject/>
  <dc:creator>Loïc Ducasse</dc:creator>
  <cp:keywords/>
  <dc:description/>
  <cp:lastModifiedBy>Loic Ducasse</cp:lastModifiedBy>
  <cp:revision>2</cp:revision>
  <dcterms:created xsi:type="dcterms:W3CDTF">2020-04-17T08:43:00Z</dcterms:created>
  <dcterms:modified xsi:type="dcterms:W3CDTF">2020-04-17T08:43:00Z</dcterms:modified>
</cp:coreProperties>
</file>