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87" w:rsidRDefault="00117E9B" w:rsidP="0000222F">
      <w:pPr>
        <w:pStyle w:val="Citationintense"/>
        <w:rPr>
          <w:rStyle w:val="Emphaseple"/>
          <w:b/>
          <w:sz w:val="56"/>
        </w:rPr>
      </w:pPr>
      <w:r>
        <w:rPr>
          <w:rStyle w:val="Emphaseple"/>
          <w:b/>
          <w:sz w:val="56"/>
        </w:rPr>
        <w:t>Note de version Alma –</w:t>
      </w:r>
      <w:r w:rsidR="00B62FD4">
        <w:rPr>
          <w:rStyle w:val="Emphaseple"/>
          <w:b/>
          <w:sz w:val="56"/>
        </w:rPr>
        <w:t xml:space="preserve">  </w:t>
      </w:r>
    </w:p>
    <w:p w:rsidR="009922B4" w:rsidRPr="0000222F" w:rsidRDefault="00FE5C75" w:rsidP="0000222F">
      <w:pPr>
        <w:pStyle w:val="Citationintense"/>
        <w:rPr>
          <w:rStyle w:val="Emphaseple"/>
          <w:b/>
          <w:sz w:val="56"/>
        </w:rPr>
      </w:pPr>
      <w:r>
        <w:rPr>
          <w:rStyle w:val="Emphaseple"/>
          <w:b/>
          <w:sz w:val="56"/>
        </w:rPr>
        <w:t>Jui</w:t>
      </w:r>
      <w:r w:rsidR="0054008B">
        <w:rPr>
          <w:rStyle w:val="Emphaseple"/>
          <w:b/>
          <w:sz w:val="56"/>
        </w:rPr>
        <w:t>llet</w:t>
      </w:r>
      <w:r w:rsidR="00B62FD4">
        <w:rPr>
          <w:rStyle w:val="Emphaseple"/>
          <w:b/>
          <w:sz w:val="56"/>
        </w:rPr>
        <w:t xml:space="preserve"> 2019</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54008B" w:rsidRPr="00D61FC0">
          <w:rPr>
            <w:rStyle w:val="Lienhypertexte"/>
            <w:rFonts w:ascii="Helvetica" w:hAnsi="Helvetica"/>
            <w:sz w:val="16"/>
            <w:szCs w:val="16"/>
          </w:rPr>
          <w:t>https://knowledge.exlibrisgroup.com/Alma/Release_Notes/009_2019/Alma_2019_Release_Notes?mon=201907BASE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D50587" w:rsidRDefault="00D50587" w:rsidP="00D45973">
      <w:pPr>
        <w:jc w:val="both"/>
        <w:rPr>
          <w:rFonts w:ascii="Helvetica" w:hAnsi="Helvetica"/>
          <w:sz w:val="20"/>
        </w:rPr>
      </w:pPr>
      <w:bookmarkStart w:id="0" w:name="OLE_LINK1"/>
      <w:bookmarkStart w:id="1" w:name="OLE_LINK2"/>
    </w:p>
    <w:bookmarkEnd w:id="0"/>
    <w:bookmarkEnd w:id="1"/>
    <w:p w:rsidR="00FE5C75" w:rsidRDefault="00FE5C75" w:rsidP="00FE5C75">
      <w:pPr>
        <w:pStyle w:val="Titre1"/>
        <w:jc w:val="both"/>
        <w:rPr>
          <w:rFonts w:asciiTheme="minorHAnsi" w:hAnsiTheme="minorHAnsi"/>
          <w:color w:val="auto"/>
          <w:sz w:val="40"/>
          <w:szCs w:val="40"/>
        </w:rPr>
      </w:pPr>
      <w:r>
        <w:rPr>
          <w:rFonts w:asciiTheme="minorHAnsi" w:hAnsiTheme="minorHAnsi"/>
          <w:color w:val="auto"/>
          <w:sz w:val="40"/>
          <w:szCs w:val="40"/>
        </w:rPr>
        <w:t>Acquisitions</w:t>
      </w:r>
    </w:p>
    <w:p w:rsidR="00FE5C75" w:rsidRDefault="00FE5C75" w:rsidP="00FE5C75">
      <w:pPr>
        <w:jc w:val="both"/>
      </w:pPr>
    </w:p>
    <w:p w:rsidR="00745935" w:rsidRPr="00745935" w:rsidRDefault="00ED701C" w:rsidP="00745935">
      <w:pPr>
        <w:pStyle w:val="Titre2"/>
        <w:rPr>
          <w:rFonts w:asciiTheme="minorHAnsi" w:hAnsiTheme="minorHAnsi"/>
          <w:color w:val="auto"/>
          <w:sz w:val="32"/>
        </w:rPr>
      </w:pPr>
      <w:r>
        <w:rPr>
          <w:rFonts w:asciiTheme="minorHAnsi" w:hAnsiTheme="minorHAnsi"/>
          <w:color w:val="auto"/>
          <w:sz w:val="32"/>
        </w:rPr>
        <w:t>Lignes de commande à réclamer</w:t>
      </w:r>
    </w:p>
    <w:p w:rsidR="00ED701C" w:rsidRDefault="00ED701C" w:rsidP="0074593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Un onglet supplémentaire a été ajouté sous les lignes de commande en réclamation. </w:t>
      </w:r>
    </w:p>
    <w:p w:rsidR="00ED701C" w:rsidRDefault="00ED701C" w:rsidP="0074593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Pour les ressources dites ponctuelles, cet onglet affiche la date de réception de chaque exemplaire attendu et un lien vers l’éditeur d’exemplaire. </w:t>
      </w:r>
    </w:p>
    <w:p w:rsidR="00ED701C" w:rsidRDefault="00ED701C" w:rsidP="00745935">
      <w:pPr>
        <w:rPr>
          <w:rFonts w:ascii="Arial" w:hAnsi="Arial" w:cs="Arial"/>
          <w:color w:val="000000"/>
          <w:sz w:val="20"/>
          <w:szCs w:val="20"/>
          <w:shd w:val="clear" w:color="auto" w:fill="FFFFFF"/>
        </w:rPr>
      </w:pPr>
      <w:r>
        <w:rPr>
          <w:rFonts w:ascii="Arial" w:hAnsi="Arial" w:cs="Arial"/>
          <w:noProof/>
          <w:color w:val="000000"/>
          <w:sz w:val="20"/>
          <w:szCs w:val="20"/>
          <w:shd w:val="clear" w:color="auto" w:fill="FFFFFF"/>
          <w:lang w:eastAsia="fr-FR"/>
        </w:rPr>
        <w:drawing>
          <wp:inline distT="0" distB="0" distL="0" distR="0">
            <wp:extent cx="5760720" cy="163004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6-26_1055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630045"/>
                    </a:xfrm>
                    <a:prstGeom prst="rect">
                      <a:avLst/>
                    </a:prstGeom>
                  </pic:spPr>
                </pic:pic>
              </a:graphicData>
            </a:graphic>
          </wp:inline>
        </w:drawing>
      </w:r>
    </w:p>
    <w:p w:rsidR="00ED701C" w:rsidRDefault="00ED701C" w:rsidP="00745935">
      <w:pPr>
        <w:rPr>
          <w:rFonts w:ascii="Arial" w:hAnsi="Arial" w:cs="Arial"/>
          <w:color w:val="000000"/>
          <w:sz w:val="20"/>
          <w:szCs w:val="20"/>
          <w:shd w:val="clear" w:color="auto" w:fill="FFFFFF"/>
        </w:rPr>
      </w:pPr>
    </w:p>
    <w:p w:rsidR="00ED701C" w:rsidRDefault="00ED701C" w:rsidP="00ED701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Pour les ressources dites continues, cet onglet affiche la description et la date de réception de chaque exemplaire attendu ainsi qu’un lien vers l’éditeur d’exemplaire. </w:t>
      </w:r>
    </w:p>
    <w:p w:rsidR="00ED701C" w:rsidRDefault="00ED701C" w:rsidP="00ED701C">
      <w:pPr>
        <w:rPr>
          <w:rFonts w:ascii="Arial" w:hAnsi="Arial" w:cs="Arial"/>
          <w:color w:val="000000"/>
          <w:sz w:val="20"/>
          <w:szCs w:val="20"/>
          <w:shd w:val="clear" w:color="auto" w:fill="FFFFFF"/>
        </w:rPr>
      </w:pPr>
      <w:r>
        <w:rPr>
          <w:rFonts w:ascii="Arial" w:hAnsi="Arial" w:cs="Arial"/>
          <w:noProof/>
          <w:color w:val="000000"/>
          <w:sz w:val="20"/>
          <w:szCs w:val="20"/>
          <w:shd w:val="clear" w:color="auto" w:fill="FFFFFF"/>
          <w:lang w:eastAsia="fr-FR"/>
        </w:rPr>
        <w:drawing>
          <wp:inline distT="0" distB="0" distL="0" distR="0">
            <wp:extent cx="5760720" cy="178371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6-26_10542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783715"/>
                    </a:xfrm>
                    <a:prstGeom prst="rect">
                      <a:avLst/>
                    </a:prstGeom>
                  </pic:spPr>
                </pic:pic>
              </a:graphicData>
            </a:graphic>
          </wp:inline>
        </w:drawing>
      </w:r>
    </w:p>
    <w:p w:rsidR="00ED701C" w:rsidRDefault="00ED701C" w:rsidP="00745935">
      <w:pPr>
        <w:rPr>
          <w:rFonts w:ascii="Arial" w:hAnsi="Arial" w:cs="Arial"/>
          <w:color w:val="000000"/>
          <w:sz w:val="20"/>
          <w:szCs w:val="20"/>
          <w:shd w:val="clear" w:color="auto" w:fill="FFFFFF"/>
        </w:rPr>
      </w:pPr>
    </w:p>
    <w:p w:rsidR="005B6C9E" w:rsidRDefault="005B6C9E" w:rsidP="00745935"/>
    <w:p w:rsidR="00745935" w:rsidRDefault="00745935" w:rsidP="00745935"/>
    <w:p w:rsidR="003A0D01" w:rsidRDefault="003A0D01" w:rsidP="00FE5C75">
      <w:pPr>
        <w:jc w:val="both"/>
        <w:rPr>
          <w:rFonts w:ascii="Arial" w:hAnsi="Arial" w:cs="Arial"/>
          <w:color w:val="000000"/>
          <w:sz w:val="20"/>
          <w:szCs w:val="20"/>
          <w:shd w:val="clear" w:color="auto" w:fill="FFFFFF"/>
        </w:rPr>
      </w:pPr>
    </w:p>
    <w:p w:rsidR="001201B4" w:rsidRDefault="001201B4" w:rsidP="00FE5C75">
      <w:pPr>
        <w:jc w:val="both"/>
        <w:rPr>
          <w:rFonts w:ascii="Arial" w:hAnsi="Arial" w:cs="Arial"/>
          <w:color w:val="000000"/>
          <w:sz w:val="20"/>
          <w:szCs w:val="20"/>
          <w:shd w:val="clear" w:color="auto" w:fill="FFFFFF"/>
        </w:rPr>
      </w:pPr>
    </w:p>
    <w:p w:rsidR="003A0D01" w:rsidRDefault="003A0D01" w:rsidP="00FE5C75">
      <w:pPr>
        <w:jc w:val="both"/>
        <w:rPr>
          <w:rFonts w:ascii="Arial" w:hAnsi="Arial" w:cs="Arial"/>
          <w:color w:val="000000"/>
          <w:sz w:val="20"/>
          <w:szCs w:val="20"/>
          <w:shd w:val="clear" w:color="auto" w:fill="FFFFFF"/>
        </w:rPr>
      </w:pPr>
    </w:p>
    <w:p w:rsidR="00FE5C75" w:rsidRPr="006C3D7A" w:rsidRDefault="00FE5C75" w:rsidP="006C3D7A">
      <w:pPr>
        <w:pStyle w:val="Titre1"/>
        <w:rPr>
          <w:rFonts w:asciiTheme="minorHAnsi" w:hAnsiTheme="minorHAnsi"/>
          <w:color w:val="auto"/>
          <w:sz w:val="40"/>
        </w:rPr>
      </w:pPr>
      <w:r w:rsidRPr="006C3D7A">
        <w:rPr>
          <w:rFonts w:asciiTheme="minorHAnsi" w:hAnsiTheme="minorHAnsi"/>
          <w:color w:val="auto"/>
          <w:sz w:val="40"/>
        </w:rPr>
        <w:t>Gestion des données</w:t>
      </w:r>
    </w:p>
    <w:p w:rsidR="00FE5C75" w:rsidRDefault="00FE5C75" w:rsidP="00FE5C75">
      <w:pPr>
        <w:jc w:val="both"/>
      </w:pPr>
    </w:p>
    <w:p w:rsidR="00FE5C75" w:rsidRDefault="00CB5465" w:rsidP="00FE5C75">
      <w:pPr>
        <w:pStyle w:val="Titre2"/>
        <w:jc w:val="both"/>
        <w:rPr>
          <w:rFonts w:asciiTheme="minorHAnsi" w:hAnsiTheme="minorHAnsi"/>
          <w:color w:val="auto"/>
          <w:sz w:val="32"/>
        </w:rPr>
      </w:pPr>
      <w:r>
        <w:rPr>
          <w:rFonts w:asciiTheme="minorHAnsi" w:hAnsiTheme="minorHAnsi"/>
          <w:color w:val="auto"/>
          <w:sz w:val="32"/>
        </w:rPr>
        <w:t xml:space="preserve">Amélioration des fonctionnalités de </w:t>
      </w:r>
      <w:r w:rsidR="001470CD">
        <w:rPr>
          <w:rFonts w:asciiTheme="minorHAnsi" w:hAnsiTheme="minorHAnsi"/>
          <w:color w:val="auto"/>
          <w:sz w:val="32"/>
        </w:rPr>
        <w:t>recherche</w:t>
      </w:r>
    </w:p>
    <w:p w:rsidR="001470CD" w:rsidRDefault="001470CD"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De nouveaux opérateurs ont été ajoutés pour l’utilisation de l’index de recherche « Sujet ». </w:t>
      </w:r>
    </w:p>
    <w:p w:rsidR="001470CD" w:rsidRDefault="001470CD" w:rsidP="001470CD">
      <w:pPr>
        <w:jc w:val="center"/>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3051054" cy="1216154"/>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6-26_12035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1054" cy="1216154"/>
                    </a:xfrm>
                    <a:prstGeom prst="rect">
                      <a:avLst/>
                    </a:prstGeom>
                  </pic:spPr>
                </pic:pic>
              </a:graphicData>
            </a:graphic>
          </wp:inline>
        </w:drawing>
      </w:r>
    </w:p>
    <w:p w:rsidR="001470CD" w:rsidRDefault="001470CD" w:rsidP="00FE5C75">
      <w:pPr>
        <w:jc w:val="both"/>
        <w:rPr>
          <w:rFonts w:ascii="Helvetica" w:hAnsi="Helvetica"/>
          <w:color w:val="000000"/>
          <w:sz w:val="20"/>
          <w:szCs w:val="18"/>
          <w:shd w:val="clear" w:color="auto" w:fill="FFFFFF"/>
        </w:rPr>
      </w:pPr>
    </w:p>
    <w:p w:rsidR="00D03220" w:rsidRDefault="001470CD"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Ces opérateurs supplémentaires seront opérationnels à l’achèvement de la réindexation semestrielle de la base qu’Ex Libris lancera en juillet. </w:t>
      </w:r>
    </w:p>
    <w:p w:rsidR="001470CD" w:rsidRDefault="001470CD"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est à noter que cette opération rendra recherchable ou recherchable sous de nouveaux index un </w:t>
      </w:r>
      <w:r w:rsidR="004902A6">
        <w:rPr>
          <w:rFonts w:ascii="Helvetica" w:hAnsi="Helvetica"/>
          <w:color w:val="000000"/>
          <w:sz w:val="20"/>
          <w:szCs w:val="18"/>
          <w:shd w:val="clear" w:color="auto" w:fill="FFFFFF"/>
        </w:rPr>
        <w:t>certain nombre de</w:t>
      </w:r>
      <w:r w:rsidR="00D65525">
        <w:rPr>
          <w:rFonts w:ascii="Helvetica" w:hAnsi="Helvetica"/>
          <w:color w:val="000000"/>
          <w:sz w:val="20"/>
          <w:szCs w:val="18"/>
          <w:shd w:val="clear" w:color="auto" w:fill="FFFFFF"/>
        </w:rPr>
        <w:t xml:space="preserve"> zones et</w:t>
      </w:r>
      <w:r w:rsidR="004902A6">
        <w:rPr>
          <w:rFonts w:ascii="Helvetica" w:hAnsi="Helvetica"/>
          <w:color w:val="000000"/>
          <w:sz w:val="20"/>
          <w:szCs w:val="18"/>
          <w:shd w:val="clear" w:color="auto" w:fill="FFFFFF"/>
        </w:rPr>
        <w:t xml:space="preserve"> sous-zones de</w:t>
      </w:r>
      <w:r>
        <w:rPr>
          <w:rFonts w:ascii="Helvetica" w:hAnsi="Helvetica"/>
          <w:color w:val="000000"/>
          <w:sz w:val="20"/>
          <w:szCs w:val="18"/>
          <w:shd w:val="clear" w:color="auto" w:fill="FFFFFF"/>
        </w:rPr>
        <w:t xml:space="preserve"> notices</w:t>
      </w:r>
      <w:r w:rsidR="00D65525">
        <w:rPr>
          <w:rFonts w:ascii="Helvetica" w:hAnsi="Helvetica"/>
          <w:color w:val="000000"/>
          <w:sz w:val="20"/>
          <w:szCs w:val="18"/>
          <w:shd w:val="clear" w:color="auto" w:fill="FFFFFF"/>
        </w:rPr>
        <w:t xml:space="preserve"> bibliographiques et d’autorité (par exemple, la zone 333, « note sur le public destinataire »). </w:t>
      </w:r>
      <w:r>
        <w:rPr>
          <w:rFonts w:ascii="Helvetica" w:hAnsi="Helvetica"/>
          <w:color w:val="000000"/>
          <w:sz w:val="20"/>
          <w:szCs w:val="18"/>
          <w:shd w:val="clear" w:color="auto" w:fill="FFFFFF"/>
        </w:rPr>
        <w:t xml:space="preserve"> </w:t>
      </w:r>
    </w:p>
    <w:p w:rsidR="001470CD" w:rsidRDefault="001470CD" w:rsidP="00FE5C75">
      <w:pPr>
        <w:jc w:val="both"/>
        <w:rPr>
          <w:rFonts w:ascii="Helvetica" w:hAnsi="Helvetica"/>
          <w:color w:val="000000"/>
          <w:sz w:val="20"/>
          <w:szCs w:val="18"/>
          <w:shd w:val="clear" w:color="auto" w:fill="FFFFFF"/>
        </w:rPr>
      </w:pPr>
    </w:p>
    <w:p w:rsidR="001470CD" w:rsidRDefault="001470CD" w:rsidP="00FE5C75">
      <w:pPr>
        <w:jc w:val="both"/>
        <w:rPr>
          <w:rFonts w:ascii="Helvetica" w:hAnsi="Helvetica"/>
          <w:color w:val="000000"/>
          <w:sz w:val="20"/>
          <w:szCs w:val="18"/>
          <w:shd w:val="clear" w:color="auto" w:fill="FFFFFF"/>
        </w:rPr>
      </w:pPr>
    </w:p>
    <w:p w:rsidR="00D03220" w:rsidRDefault="00D03220"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317099" cy="247750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w.png"/>
                    <pic:cNvPicPr/>
                  </pic:nvPicPr>
                  <pic:blipFill>
                    <a:blip r:embed="rId12">
                      <a:extLst>
                        <a:ext uri="{28A0092B-C50C-407E-A947-70E740481C1C}">
                          <a14:useLocalDpi xmlns:a14="http://schemas.microsoft.com/office/drawing/2010/main" val="0"/>
                        </a:ext>
                      </a:extLst>
                    </a:blip>
                    <a:stretch>
                      <a:fillRect/>
                    </a:stretch>
                  </pic:blipFill>
                  <pic:spPr>
                    <a:xfrm>
                      <a:off x="0" y="0"/>
                      <a:ext cx="5317099" cy="2477501"/>
                    </a:xfrm>
                    <a:prstGeom prst="rect">
                      <a:avLst/>
                    </a:prstGeom>
                  </pic:spPr>
                </pic:pic>
              </a:graphicData>
            </a:graphic>
          </wp:inline>
        </w:drawing>
      </w:r>
    </w:p>
    <w:p w:rsidR="00D03220" w:rsidRDefault="00D03220" w:rsidP="00FE5C75">
      <w:pPr>
        <w:jc w:val="both"/>
        <w:rPr>
          <w:rFonts w:ascii="Helvetica" w:hAnsi="Helvetica"/>
          <w:color w:val="000000"/>
          <w:sz w:val="20"/>
          <w:szCs w:val="18"/>
          <w:shd w:val="clear" w:color="auto" w:fill="FFFFFF"/>
        </w:rPr>
      </w:pPr>
    </w:p>
    <w:p w:rsidR="00D03220" w:rsidRDefault="00D03220"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lastRenderedPageBreak/>
        <w:t xml:space="preserve">Sont proposés désormais, l’année, le volume, la description et la date de réception. </w:t>
      </w:r>
    </w:p>
    <w:p w:rsidR="00D03220" w:rsidRDefault="00D03220"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519555"/>
            <wp:effectExtent l="0" t="0" r="0" b="444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w (1).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519555"/>
                    </a:xfrm>
                    <a:prstGeom prst="rect">
                      <a:avLst/>
                    </a:prstGeom>
                  </pic:spPr>
                </pic:pic>
              </a:graphicData>
            </a:graphic>
          </wp:inline>
        </w:drawing>
      </w:r>
    </w:p>
    <w:p w:rsidR="00CB5465" w:rsidRDefault="00CB5465"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 </w:t>
      </w:r>
    </w:p>
    <w:p w:rsidR="00D03220" w:rsidRDefault="00D03220" w:rsidP="00FE5C75">
      <w:pPr>
        <w:jc w:val="both"/>
        <w:rPr>
          <w:rFonts w:ascii="Helvetica" w:hAnsi="Helvetica"/>
          <w:color w:val="000000"/>
          <w:sz w:val="20"/>
          <w:szCs w:val="18"/>
          <w:shd w:val="clear" w:color="auto" w:fill="FFFFFF"/>
        </w:rPr>
      </w:pPr>
    </w:p>
    <w:p w:rsidR="00D03220" w:rsidRDefault="00D03220" w:rsidP="00D03220"/>
    <w:p w:rsidR="00D03220" w:rsidRDefault="00D03220" w:rsidP="00D03220"/>
    <w:p w:rsidR="00102B8A" w:rsidRDefault="00102B8A" w:rsidP="00D03220"/>
    <w:p w:rsidR="00FE5C75" w:rsidRDefault="00FE5C75" w:rsidP="00FE5C75">
      <w:pPr>
        <w:pStyle w:val="Titre1"/>
        <w:jc w:val="both"/>
        <w:rPr>
          <w:rFonts w:asciiTheme="minorHAnsi" w:hAnsiTheme="minorHAnsi"/>
          <w:color w:val="auto"/>
          <w:sz w:val="40"/>
          <w:szCs w:val="40"/>
        </w:rPr>
      </w:pPr>
      <w:r>
        <w:rPr>
          <w:rFonts w:asciiTheme="minorHAnsi" w:hAnsiTheme="minorHAnsi"/>
          <w:color w:val="auto"/>
          <w:sz w:val="40"/>
          <w:szCs w:val="40"/>
        </w:rPr>
        <w:t>Gestion des ressources électroniques</w:t>
      </w:r>
    </w:p>
    <w:p w:rsidR="00FE5C75" w:rsidRDefault="00FE5C75" w:rsidP="00FE5C75">
      <w:pPr>
        <w:jc w:val="both"/>
      </w:pPr>
    </w:p>
    <w:p w:rsidR="00E8143C" w:rsidRDefault="00E8143C" w:rsidP="00E8143C">
      <w:pPr>
        <w:pStyle w:val="Titre2"/>
        <w:jc w:val="both"/>
        <w:rPr>
          <w:rFonts w:asciiTheme="minorHAnsi" w:hAnsiTheme="minorHAnsi"/>
          <w:color w:val="auto"/>
          <w:sz w:val="32"/>
        </w:rPr>
      </w:pPr>
      <w:r>
        <w:rPr>
          <w:rFonts w:asciiTheme="minorHAnsi" w:hAnsiTheme="minorHAnsi"/>
          <w:color w:val="auto"/>
          <w:sz w:val="32"/>
        </w:rPr>
        <w:t>Affichage en nombre illimité des services électroniques</w:t>
      </w:r>
    </w:p>
    <w:p w:rsidR="00E8143C" w:rsidRDefault="00E8143C" w:rsidP="00E8143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 limite d’affichage simultané de vingt-cinq services électroniques peut être outrepassée en activant le paramètre </w:t>
      </w:r>
      <w:r w:rsidRPr="00E8143C">
        <w:rPr>
          <w:rFonts w:ascii="Helvetica" w:hAnsi="Helvetica"/>
          <w:color w:val="000000"/>
          <w:sz w:val="20"/>
          <w:szCs w:val="18"/>
          <w:shd w:val="clear" w:color="auto" w:fill="FFFFFF"/>
        </w:rPr>
        <w:t>enable_view_it_show_all_results</w:t>
      </w:r>
      <w:r>
        <w:rPr>
          <w:rFonts w:ascii="Helvetica" w:hAnsi="Helvetica"/>
          <w:color w:val="000000"/>
          <w:sz w:val="20"/>
          <w:szCs w:val="18"/>
          <w:shd w:val="clear" w:color="auto" w:fill="FFFFFF"/>
        </w:rPr>
        <w:t xml:space="preserve"> dans la table « Autres paramètres » du menu d’administration « Ressources »</w:t>
      </w:r>
    </w:p>
    <w:p w:rsidR="00E8143C" w:rsidRDefault="00E8143C" w:rsidP="00E8143C"/>
    <w:p w:rsidR="00E8143C" w:rsidRDefault="00E8143C" w:rsidP="00E8143C"/>
    <w:p w:rsidR="00FE5C75" w:rsidRDefault="00E8143C" w:rsidP="00FE5C75">
      <w:pPr>
        <w:pStyle w:val="Titre2"/>
        <w:jc w:val="both"/>
        <w:rPr>
          <w:rFonts w:asciiTheme="minorHAnsi" w:hAnsiTheme="minorHAnsi"/>
          <w:color w:val="auto"/>
          <w:sz w:val="32"/>
        </w:rPr>
      </w:pPr>
      <w:r>
        <w:rPr>
          <w:rFonts w:asciiTheme="minorHAnsi" w:hAnsiTheme="minorHAnsi"/>
          <w:color w:val="auto"/>
          <w:sz w:val="32"/>
        </w:rPr>
        <w:t>Enrichissement du profil de publication</w:t>
      </w:r>
      <w:r w:rsidR="001470CD">
        <w:rPr>
          <w:rFonts w:asciiTheme="minorHAnsi" w:hAnsiTheme="minorHAnsi"/>
          <w:color w:val="auto"/>
          <w:sz w:val="32"/>
        </w:rPr>
        <w:t xml:space="preserve"> pour les inventaires électroniques</w:t>
      </w:r>
    </w:p>
    <w:p w:rsidR="00E8143C" w:rsidRDefault="00E8143C"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 profil de publication de type « Général » supporte des champs d’information supplémentaires </w:t>
      </w:r>
      <w:r w:rsidR="001470CD">
        <w:rPr>
          <w:rFonts w:ascii="Helvetica" w:hAnsi="Helvetica"/>
          <w:color w:val="000000"/>
          <w:sz w:val="20"/>
          <w:szCs w:val="18"/>
          <w:shd w:val="clear" w:color="auto" w:fill="FFFFFF"/>
        </w:rPr>
        <w:t xml:space="preserve">sur les </w:t>
      </w:r>
      <w:r>
        <w:rPr>
          <w:rFonts w:ascii="Helvetica" w:hAnsi="Helvetica"/>
          <w:color w:val="000000"/>
          <w:sz w:val="20"/>
          <w:szCs w:val="18"/>
          <w:shd w:val="clear" w:color="auto" w:fill="FFFFFF"/>
        </w:rPr>
        <w:t xml:space="preserve">inventaires électroniques. </w:t>
      </w:r>
    </w:p>
    <w:p w:rsidR="00E8143C" w:rsidRDefault="00E8143C"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81432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6-26_11585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E8143C" w:rsidRDefault="00E8143C" w:rsidP="00FE5C75">
      <w:pPr>
        <w:jc w:val="both"/>
        <w:rPr>
          <w:rFonts w:ascii="Helvetica" w:hAnsi="Helvetica"/>
          <w:color w:val="000000"/>
          <w:sz w:val="20"/>
          <w:szCs w:val="18"/>
          <w:shd w:val="clear" w:color="auto" w:fill="FFFFFF"/>
        </w:rPr>
      </w:pPr>
    </w:p>
    <w:p w:rsidR="00E8143C" w:rsidRDefault="00E8143C" w:rsidP="00FE5C75">
      <w:pPr>
        <w:jc w:val="both"/>
        <w:rPr>
          <w:rFonts w:ascii="Helvetica" w:hAnsi="Helvetica"/>
          <w:color w:val="000000"/>
          <w:sz w:val="20"/>
          <w:szCs w:val="18"/>
          <w:shd w:val="clear" w:color="auto" w:fill="FFFFFF"/>
        </w:rPr>
      </w:pPr>
    </w:p>
    <w:p w:rsidR="001470CD" w:rsidRDefault="001470CD" w:rsidP="001470CD">
      <w:pPr>
        <w:pStyle w:val="Titre2"/>
        <w:jc w:val="both"/>
        <w:rPr>
          <w:rFonts w:asciiTheme="minorHAnsi" w:hAnsiTheme="minorHAnsi"/>
          <w:color w:val="auto"/>
          <w:sz w:val="32"/>
        </w:rPr>
      </w:pPr>
      <w:r>
        <w:rPr>
          <w:rFonts w:asciiTheme="minorHAnsi" w:hAnsiTheme="minorHAnsi"/>
          <w:color w:val="auto"/>
          <w:sz w:val="32"/>
        </w:rPr>
        <w:t>Enrichissement des données relatives aux portfolios créés dans Alma</w:t>
      </w:r>
    </w:p>
    <w:p w:rsidR="001470CD" w:rsidRDefault="001470CD" w:rsidP="001470C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 formulaire de création de portfolios locaux a été enrichi d’un nouveau champ permettant de renseigner la langue du portfolio. </w:t>
      </w:r>
    </w:p>
    <w:p w:rsidR="001470CD" w:rsidRDefault="001470CD" w:rsidP="001470CD">
      <w:pPr>
        <w:jc w:val="center"/>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4636017" cy="202692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06-26_12193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36017" cy="2026924"/>
                    </a:xfrm>
                    <a:prstGeom prst="rect">
                      <a:avLst/>
                    </a:prstGeom>
                  </pic:spPr>
                </pic:pic>
              </a:graphicData>
            </a:graphic>
          </wp:inline>
        </w:drawing>
      </w:r>
    </w:p>
    <w:p w:rsidR="00F74BB6" w:rsidRDefault="00F74BB6" w:rsidP="00FE5C75">
      <w:pPr>
        <w:jc w:val="both"/>
        <w:rPr>
          <w:rFonts w:ascii="Helvetica" w:hAnsi="Helvetica"/>
          <w:color w:val="000000"/>
          <w:sz w:val="20"/>
          <w:szCs w:val="18"/>
          <w:shd w:val="clear" w:color="auto" w:fill="FFFFFF"/>
        </w:rPr>
      </w:pPr>
    </w:p>
    <w:p w:rsidR="00F74BB6" w:rsidRPr="001470CD" w:rsidRDefault="001470CD"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 </w:t>
      </w:r>
      <w:r>
        <w:rPr>
          <w:rFonts w:ascii="Helvetica" w:hAnsi="Helvetica"/>
          <w:i/>
          <w:color w:val="000000"/>
          <w:sz w:val="20"/>
          <w:szCs w:val="18"/>
          <w:shd w:val="clear" w:color="auto" w:fill="FFFFFF"/>
        </w:rPr>
        <w:t xml:space="preserve">template </w:t>
      </w:r>
      <w:r>
        <w:rPr>
          <w:rFonts w:ascii="Helvetica" w:hAnsi="Helvetica"/>
          <w:color w:val="000000"/>
          <w:sz w:val="20"/>
          <w:szCs w:val="18"/>
          <w:shd w:val="clear" w:color="auto" w:fill="FFFFFF"/>
        </w:rPr>
        <w:t xml:space="preserve">du fichier de chargement des portfolios a également été mis à jour par l’ajout d’une colonne intitulée « LANGUAGE », située en avant-dernière position. </w:t>
      </w:r>
    </w:p>
    <w:p w:rsidR="00FE5C75" w:rsidRDefault="00FE5C75" w:rsidP="00FE5C75">
      <w:pPr>
        <w:jc w:val="both"/>
        <w:rPr>
          <w:rFonts w:ascii="Helvetica" w:hAnsi="Helvetica"/>
          <w:szCs w:val="20"/>
        </w:rPr>
      </w:pPr>
    </w:p>
    <w:p w:rsidR="00FE5C75" w:rsidRDefault="00FE5C75" w:rsidP="00FE5C75">
      <w:pPr>
        <w:jc w:val="both"/>
        <w:rPr>
          <w:rFonts w:ascii="Helvetica" w:hAnsi="Helvetica"/>
          <w:szCs w:val="20"/>
        </w:rPr>
      </w:pPr>
    </w:p>
    <w:p w:rsidR="00FE5C75" w:rsidRDefault="00FE5C75" w:rsidP="00FE5C75">
      <w:pPr>
        <w:jc w:val="both"/>
        <w:rPr>
          <w:rFonts w:ascii="Helvetica" w:hAnsi="Helvetica"/>
          <w:szCs w:val="20"/>
        </w:rPr>
      </w:pPr>
    </w:p>
    <w:p w:rsidR="001201B4" w:rsidRDefault="001201B4" w:rsidP="00FE5C75">
      <w:pPr>
        <w:jc w:val="both"/>
        <w:rPr>
          <w:rFonts w:ascii="Helvetica" w:hAnsi="Helvetica"/>
          <w:szCs w:val="20"/>
        </w:rPr>
      </w:pPr>
    </w:p>
    <w:p w:rsidR="001201B4" w:rsidRDefault="001201B4" w:rsidP="001201B4">
      <w:pPr>
        <w:pStyle w:val="Titre1"/>
        <w:jc w:val="both"/>
        <w:rPr>
          <w:rFonts w:asciiTheme="minorHAnsi" w:hAnsiTheme="minorHAnsi"/>
          <w:color w:val="auto"/>
          <w:sz w:val="40"/>
          <w:szCs w:val="40"/>
        </w:rPr>
      </w:pPr>
      <w:r>
        <w:rPr>
          <w:rFonts w:asciiTheme="minorHAnsi" w:hAnsiTheme="minorHAnsi"/>
          <w:color w:val="auto"/>
          <w:sz w:val="40"/>
          <w:szCs w:val="40"/>
        </w:rPr>
        <w:t>Services aux usagers</w:t>
      </w:r>
    </w:p>
    <w:p w:rsidR="001201B4" w:rsidRDefault="001201B4" w:rsidP="001201B4">
      <w:pPr>
        <w:jc w:val="both"/>
      </w:pPr>
    </w:p>
    <w:p w:rsidR="001201B4" w:rsidRDefault="001201B4" w:rsidP="001201B4">
      <w:pPr>
        <w:pStyle w:val="Titre2"/>
        <w:jc w:val="both"/>
        <w:rPr>
          <w:rFonts w:asciiTheme="minorHAnsi" w:hAnsiTheme="minorHAnsi"/>
          <w:color w:val="auto"/>
          <w:sz w:val="32"/>
        </w:rPr>
      </w:pPr>
      <w:r>
        <w:rPr>
          <w:rFonts w:asciiTheme="minorHAnsi" w:hAnsiTheme="minorHAnsi"/>
          <w:color w:val="auto"/>
          <w:sz w:val="32"/>
        </w:rPr>
        <w:lastRenderedPageBreak/>
        <w:t>Amélioration du processus de traitement des demandes</w:t>
      </w:r>
    </w:p>
    <w:p w:rsidR="005E6DCD" w:rsidRDefault="001201B4"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Dans le contexte de demandes faites au niveau du titre, quelle que soit la disponibilité des exemplaires, et de demandes pour lesquelles le choix du lieu de retrait est laissé à l’appréciation du demandeur, les critères de sélection </w:t>
      </w:r>
      <w:r w:rsidR="005E6DCD">
        <w:rPr>
          <w:rFonts w:ascii="Helvetica" w:hAnsi="Helvetica"/>
          <w:color w:val="000000"/>
          <w:sz w:val="20"/>
          <w:szCs w:val="18"/>
          <w:shd w:val="clear" w:color="auto" w:fill="FFFFFF"/>
        </w:rPr>
        <w:t xml:space="preserve">des holdings par Alma ont été améliorés. </w:t>
      </w:r>
    </w:p>
    <w:p w:rsidR="005E6DCD" w:rsidRDefault="005E6DCD"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Lorsqu’aucun exemplaire du titre demandé n’est disponible ou communicable à la bibliothèque de retrait sélectionnée, Alma sollicite prioritairement, désormais, les bibliothèques du même campus. Si aucune d’entre elles ne possède d’exemplaire disponible ou communicable, Alma vérifie ensuite la disponibilité du titre auprès des bibliothèques des autres campus et sollicite alors la bibliothèque affichant le temps de transit le plus court avec la bibliothèque désignée comme lieu de retrait. </w:t>
      </w:r>
    </w:p>
    <w:p w:rsidR="00AD5CF2" w:rsidRDefault="005E6DCD"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En outre, la page « Prendre en rayon » propose désormais une option supplémentaire en plus de l’</w:t>
      </w:r>
      <w:r w:rsidR="00AD5CF2">
        <w:rPr>
          <w:rFonts w:ascii="Helvetica" w:hAnsi="Helvetica"/>
          <w:color w:val="000000"/>
          <w:sz w:val="20"/>
          <w:szCs w:val="18"/>
          <w:shd w:val="clear" w:color="auto" w:fill="FFFFFF"/>
        </w:rPr>
        <w:t>annulation de la demande (« </w:t>
      </w:r>
      <w:r w:rsidR="00AD5CF2" w:rsidRPr="00AD5CF2">
        <w:rPr>
          <w:rFonts w:ascii="Helvetica" w:hAnsi="Helvetica"/>
          <w:color w:val="000000"/>
          <w:sz w:val="20"/>
          <w:szCs w:val="18"/>
          <w:shd w:val="clear" w:color="auto" w:fill="FFFFFF"/>
        </w:rPr>
        <w:t>Annuler la demande</w:t>
      </w:r>
      <w:r w:rsidR="00AD5CF2">
        <w:rPr>
          <w:rFonts w:ascii="Helvetica" w:hAnsi="Helvetica"/>
          <w:color w:val="000000"/>
          <w:sz w:val="20"/>
          <w:szCs w:val="18"/>
          <w:shd w:val="clear" w:color="auto" w:fill="FFFFFF"/>
        </w:rPr>
        <w:t xml:space="preserve"> »), </w:t>
      </w:r>
      <w:r>
        <w:rPr>
          <w:rFonts w:ascii="Helvetica" w:hAnsi="Helvetica"/>
          <w:color w:val="000000"/>
          <w:sz w:val="20"/>
          <w:szCs w:val="18"/>
          <w:shd w:val="clear" w:color="auto" w:fill="FFFFFF"/>
        </w:rPr>
        <w:t>de l’indication que le titre</w:t>
      </w:r>
      <w:r w:rsidR="00AD5CF2">
        <w:rPr>
          <w:rFonts w:ascii="Helvetica" w:hAnsi="Helvetica"/>
          <w:color w:val="000000"/>
          <w:sz w:val="20"/>
          <w:szCs w:val="18"/>
          <w:shd w:val="clear" w:color="auto" w:fill="FFFFFF"/>
        </w:rPr>
        <w:t xml:space="preserve"> est manquant (« </w:t>
      </w:r>
      <w:r w:rsidR="00AD5CF2" w:rsidRPr="00AD5CF2">
        <w:rPr>
          <w:rFonts w:ascii="Helvetica" w:hAnsi="Helvetica"/>
          <w:color w:val="000000"/>
          <w:sz w:val="20"/>
          <w:szCs w:val="18"/>
          <w:shd w:val="clear" w:color="auto" w:fill="FFFFFF"/>
        </w:rPr>
        <w:t>Indiquer comme manquant</w:t>
      </w:r>
      <w:r w:rsidR="00AD5CF2">
        <w:rPr>
          <w:rFonts w:ascii="Helvetica" w:hAnsi="Helvetica"/>
          <w:color w:val="000000"/>
          <w:sz w:val="20"/>
          <w:szCs w:val="18"/>
          <w:shd w:val="clear" w:color="auto" w:fill="FFFFFF"/>
        </w:rPr>
        <w:t> »)</w:t>
      </w:r>
      <w:r>
        <w:rPr>
          <w:rFonts w:ascii="Helvetica" w:hAnsi="Helvetica"/>
          <w:color w:val="000000"/>
          <w:sz w:val="20"/>
          <w:szCs w:val="18"/>
          <w:shd w:val="clear" w:color="auto" w:fill="FFFFFF"/>
        </w:rPr>
        <w:t xml:space="preserve"> </w:t>
      </w:r>
      <w:r w:rsidR="00AD5CF2">
        <w:rPr>
          <w:rFonts w:ascii="Helvetica" w:hAnsi="Helvetica"/>
          <w:color w:val="000000"/>
          <w:sz w:val="20"/>
          <w:szCs w:val="18"/>
          <w:shd w:val="clear" w:color="auto" w:fill="FFFFFF"/>
        </w:rPr>
        <w:t>ou de la possibilité de passer automatiquement la demande à une autre bibliothèque (« </w:t>
      </w:r>
      <w:r w:rsidR="00AD5CF2" w:rsidRPr="00AD5CF2">
        <w:rPr>
          <w:rFonts w:ascii="Helvetica" w:hAnsi="Helvetica"/>
          <w:color w:val="000000"/>
          <w:sz w:val="20"/>
          <w:szCs w:val="18"/>
          <w:shd w:val="clear" w:color="auto" w:fill="FFFFFF"/>
        </w:rPr>
        <w:t>Ignorer la localisation</w:t>
      </w:r>
      <w:r w:rsidR="00AD5CF2">
        <w:rPr>
          <w:rFonts w:ascii="Helvetica" w:hAnsi="Helvetica"/>
          <w:color w:val="000000"/>
          <w:sz w:val="20"/>
          <w:szCs w:val="18"/>
          <w:shd w:val="clear" w:color="auto" w:fill="FFFFFF"/>
        </w:rPr>
        <w:t> ») : le transfert manuel de la demande (« </w:t>
      </w:r>
      <w:r w:rsidR="00AD5CF2" w:rsidRPr="00AD5CF2">
        <w:rPr>
          <w:rFonts w:ascii="Helvetica" w:hAnsi="Helvetica"/>
          <w:color w:val="000000"/>
          <w:sz w:val="20"/>
          <w:szCs w:val="18"/>
          <w:shd w:val="clear" w:color="auto" w:fill="FFFFFF"/>
        </w:rPr>
        <w:t>Ignorer la localisation</w:t>
      </w:r>
      <w:r w:rsidR="00AD5CF2">
        <w:rPr>
          <w:rFonts w:ascii="Helvetica" w:hAnsi="Helvetica"/>
          <w:color w:val="000000"/>
          <w:sz w:val="20"/>
          <w:szCs w:val="18"/>
          <w:shd w:val="clear" w:color="auto" w:fill="FFFFFF"/>
        </w:rPr>
        <w:t xml:space="preserve"> manuellement »). </w:t>
      </w:r>
    </w:p>
    <w:p w:rsidR="00AD5CF2" w:rsidRDefault="00AD5CF2"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nouvelle option est comparable à la précédente, mais permet au bibliothécaire de déterminer lui-même le comportement d’Alma (privilégier les exemplaires du titre conservés dans le même campus, privilégier les exemplaires du titre conservés dans d’autres campus en fonction des temps de transit, privilégier le magasin distant défini comme « préféré aux autres localisations », retourner la demande à la bibliothèque qui l’a précédemment déclinée). </w:t>
      </w:r>
    </w:p>
    <w:p w:rsidR="00AD5CF2" w:rsidRPr="00D65525" w:rsidRDefault="00AD5CF2" w:rsidP="001201B4">
      <w:pPr>
        <w:jc w:val="both"/>
        <w:rPr>
          <w:rFonts w:ascii="Helvetica" w:hAnsi="Helvetica"/>
          <w:color w:val="000000"/>
          <w:sz w:val="20"/>
          <w:szCs w:val="18"/>
          <w:shd w:val="clear" w:color="auto" w:fill="FFFFFF"/>
        </w:rPr>
      </w:pPr>
    </w:p>
    <w:p w:rsidR="00AD5CF2" w:rsidRPr="00AD5CF2" w:rsidRDefault="00AD5CF2" w:rsidP="001201B4">
      <w:pPr>
        <w:jc w:val="both"/>
        <w:rPr>
          <w:rFonts w:ascii="Helvetica" w:hAnsi="Helvetica"/>
          <w:color w:val="000000"/>
          <w:sz w:val="20"/>
          <w:szCs w:val="18"/>
          <w:shd w:val="clear" w:color="auto" w:fill="FFFFFF"/>
        </w:rPr>
      </w:pPr>
    </w:p>
    <w:p w:rsidR="00AD5CF2" w:rsidRDefault="00AD5CF2" w:rsidP="00AD5CF2">
      <w:pPr>
        <w:pStyle w:val="Titre2"/>
        <w:jc w:val="both"/>
        <w:rPr>
          <w:rFonts w:asciiTheme="minorHAnsi" w:hAnsiTheme="minorHAnsi"/>
          <w:color w:val="auto"/>
          <w:sz w:val="32"/>
        </w:rPr>
      </w:pPr>
      <w:r>
        <w:rPr>
          <w:rFonts w:asciiTheme="minorHAnsi" w:hAnsiTheme="minorHAnsi"/>
          <w:color w:val="auto"/>
          <w:sz w:val="32"/>
        </w:rPr>
        <w:t>Amélioration du fonctionnement des demandes de réservation planifiée</w:t>
      </w:r>
    </w:p>
    <w:p w:rsidR="00AD5CF2" w:rsidRDefault="00AD5CF2"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Les conditions d’utilisation applicables au service « Réservation planifiée » ont évolué avec l’ajout d’une nouvelle condition « </w:t>
      </w:r>
      <w:r w:rsidRPr="00AD5CF2">
        <w:rPr>
          <w:rFonts w:ascii="Helvetica" w:hAnsi="Helvetica"/>
          <w:color w:val="000000"/>
          <w:sz w:val="20"/>
          <w:szCs w:val="18"/>
          <w:shd w:val="clear" w:color="auto" w:fill="FFFFFF"/>
        </w:rPr>
        <w:t>Booking resolution</w:t>
      </w:r>
      <w:r>
        <w:rPr>
          <w:rFonts w:ascii="Helvetica" w:hAnsi="Helvetica"/>
          <w:color w:val="000000"/>
          <w:sz w:val="20"/>
          <w:szCs w:val="18"/>
          <w:shd w:val="clear" w:color="auto" w:fill="FFFFFF"/>
        </w:rPr>
        <w:t> »</w:t>
      </w:r>
      <w:r w:rsidR="00491C52">
        <w:rPr>
          <w:rFonts w:ascii="Helvetica" w:hAnsi="Helvetica"/>
          <w:color w:val="000000"/>
          <w:sz w:val="20"/>
          <w:szCs w:val="18"/>
          <w:shd w:val="clear" w:color="auto" w:fill="FFFFFF"/>
        </w:rPr>
        <w:t xml:space="preserve"> (en français dans Alma : « Résolution de réservation »). </w:t>
      </w:r>
    </w:p>
    <w:p w:rsidR="00491C52" w:rsidRDefault="00491C52"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 sélection d’un des paramètres utilisables (minutes, heures, jours ou jours jusqu’à la réouverture) va déterminer la tranche de réservation affichée pour le lecteur : uniquement des jours si « Days » ou « Days plus overnight » est sélectionné ; des jours, heures et minutes si « Minutes » est sélectionné ; des jours, heures et minutes si « Hours » est sélectionné avec un message avertissant que les minutes ne doivent pas être renseignées. </w:t>
      </w:r>
    </w:p>
    <w:p w:rsidR="00491C52" w:rsidRDefault="00491C52" w:rsidP="00AD5CF2">
      <w:pPr>
        <w:jc w:val="both"/>
        <w:rPr>
          <w:rFonts w:ascii="Helvetica" w:hAnsi="Helvetica"/>
          <w:color w:val="000000"/>
          <w:sz w:val="20"/>
          <w:szCs w:val="18"/>
          <w:shd w:val="clear" w:color="auto" w:fill="FFFFFF"/>
        </w:rPr>
      </w:pPr>
    </w:p>
    <w:p w:rsidR="00491C52" w:rsidRDefault="00491C52" w:rsidP="00AD5CF2">
      <w:pPr>
        <w:jc w:val="both"/>
        <w:rPr>
          <w:rFonts w:ascii="Helvetica" w:hAnsi="Helvetica"/>
          <w:color w:val="000000"/>
          <w:sz w:val="20"/>
          <w:szCs w:val="18"/>
          <w:shd w:val="clear" w:color="auto" w:fill="FFFFFF"/>
        </w:rPr>
      </w:pPr>
    </w:p>
    <w:p w:rsidR="00936142" w:rsidRDefault="00936142" w:rsidP="00936142">
      <w:pPr>
        <w:pStyle w:val="Titre2"/>
        <w:jc w:val="both"/>
        <w:rPr>
          <w:rFonts w:asciiTheme="minorHAnsi" w:hAnsiTheme="minorHAnsi"/>
          <w:color w:val="auto"/>
          <w:sz w:val="32"/>
        </w:rPr>
      </w:pPr>
      <w:r>
        <w:rPr>
          <w:rFonts w:asciiTheme="minorHAnsi" w:hAnsiTheme="minorHAnsi"/>
          <w:color w:val="auto"/>
          <w:sz w:val="32"/>
        </w:rPr>
        <w:t>Amélioration de l’affichage des notes des dossiers des usagers</w:t>
      </w:r>
    </w:p>
    <w:p w:rsidR="00D24F72" w:rsidRDefault="00D55233"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Les notes créées dans les dossiers des usagers peuvent désormais être affichées sous la forme de fenêtre pop-up à l’</w:t>
      </w:r>
      <w:r w:rsidR="00D24F72">
        <w:rPr>
          <w:rFonts w:ascii="Helvetica" w:hAnsi="Helvetica"/>
          <w:color w:val="000000"/>
          <w:sz w:val="20"/>
          <w:szCs w:val="18"/>
          <w:shd w:val="clear" w:color="auto" w:fill="FFFFFF"/>
        </w:rPr>
        <w:t xml:space="preserve">ouverture du dossier – la même fenêtre pop-up que celle qui signale retards et blocages. </w:t>
      </w:r>
    </w:p>
    <w:p w:rsidR="00D24F72" w:rsidRDefault="00D24F72" w:rsidP="00AD5CF2">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81432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9-06-26_17432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D24F72" w:rsidRDefault="00D24F72" w:rsidP="00AD5CF2">
      <w:pPr>
        <w:jc w:val="both"/>
        <w:rPr>
          <w:rFonts w:ascii="Helvetica" w:hAnsi="Helvetica"/>
          <w:color w:val="000000"/>
          <w:sz w:val="20"/>
          <w:szCs w:val="18"/>
          <w:shd w:val="clear" w:color="auto" w:fill="FFFFFF"/>
        </w:rPr>
      </w:pPr>
    </w:p>
    <w:p w:rsidR="00491C52" w:rsidRDefault="00D24F72"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L’ajout d’une note sous forme de fenêtre pop-up se fait toujours de la même manière. Il suffit juste de cocher la case « Note contextuelle ». </w:t>
      </w:r>
    </w:p>
    <w:p w:rsidR="00D24F72" w:rsidRDefault="00D24F72" w:rsidP="00AD5CF2">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978660"/>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06-26_17413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1978660"/>
                    </a:xfrm>
                    <a:prstGeom prst="rect">
                      <a:avLst/>
                    </a:prstGeom>
                  </pic:spPr>
                </pic:pic>
              </a:graphicData>
            </a:graphic>
          </wp:inline>
        </w:drawing>
      </w:r>
    </w:p>
    <w:p w:rsidR="00D55233" w:rsidRDefault="00D55233" w:rsidP="00AD5CF2">
      <w:pPr>
        <w:jc w:val="both"/>
        <w:rPr>
          <w:rFonts w:ascii="Helvetica" w:hAnsi="Helvetica"/>
          <w:color w:val="000000"/>
          <w:sz w:val="20"/>
          <w:szCs w:val="18"/>
          <w:shd w:val="clear" w:color="auto" w:fill="FFFFFF"/>
        </w:rPr>
      </w:pPr>
    </w:p>
    <w:p w:rsidR="00D24F72" w:rsidRDefault="00D24F72" w:rsidP="00D24F7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est à noter que cet affichage se cumule avec l’affichage de la note dans le bloc de notes. Les notes déjà créées avant la version de juillet continueront d’ailleurs à n’apparaître que dans ce bloc. </w:t>
      </w:r>
    </w:p>
    <w:p w:rsidR="001201B4" w:rsidRPr="00936142" w:rsidRDefault="001201B4" w:rsidP="00936142">
      <w:pPr>
        <w:jc w:val="both"/>
        <w:rPr>
          <w:rFonts w:ascii="Helvetica" w:hAnsi="Helvetica"/>
          <w:color w:val="000000"/>
          <w:sz w:val="20"/>
          <w:szCs w:val="18"/>
          <w:shd w:val="clear" w:color="auto" w:fill="FFFFFF"/>
        </w:rPr>
      </w:pPr>
    </w:p>
    <w:p w:rsidR="009F7DE1" w:rsidRPr="009F7DE1" w:rsidRDefault="00347DAF" w:rsidP="009F7DE1">
      <w:pPr>
        <w:pStyle w:val="Titre2"/>
        <w:rPr>
          <w:rFonts w:asciiTheme="minorHAnsi" w:hAnsiTheme="minorHAnsi"/>
          <w:color w:val="auto"/>
          <w:sz w:val="32"/>
        </w:rPr>
      </w:pPr>
      <w:r w:rsidRPr="009F7DE1">
        <w:rPr>
          <w:rFonts w:asciiTheme="minorHAnsi" w:hAnsiTheme="minorHAnsi"/>
          <w:color w:val="auto"/>
          <w:sz w:val="32"/>
        </w:rPr>
        <w:t>Affichage du nom préféré</w:t>
      </w:r>
    </w:p>
    <w:p w:rsidR="00347DAF" w:rsidRPr="009F7DE1" w:rsidRDefault="00347DAF" w:rsidP="009F7DE1">
      <w:pPr>
        <w:jc w:val="both"/>
        <w:rPr>
          <w:sz w:val="32"/>
        </w:rPr>
      </w:pPr>
      <w:r>
        <w:t>Le nom de famille préféré, l</w:t>
      </w:r>
      <w:r w:rsidR="009F7DE1">
        <w:t xml:space="preserve">e </w:t>
      </w:r>
      <w:r>
        <w:t xml:space="preserve">prénom préféré et le deuxième prénom préféré sont utilisés pour l’affichage dans </w:t>
      </w:r>
      <w:bookmarkStart w:id="2" w:name="_GoBack"/>
      <w:bookmarkEnd w:id="2"/>
      <w:r>
        <w:t>Alma à la place du nom de famille, du prénom et du deuxième prénom. Ils sont également utilisés pour dans l’ent</w:t>
      </w:r>
      <w:r w:rsidR="000F3190">
        <w:t xml:space="preserve">ête des </w:t>
      </w:r>
      <w:r>
        <w:t>lettres</w:t>
      </w:r>
      <w:r w:rsidR="000F3190">
        <w:t>, le service aux usagers et les réservations sur étagère.</w:t>
      </w:r>
    </w:p>
    <w:p w:rsidR="001201B4" w:rsidRDefault="001201B4" w:rsidP="00FE5C75">
      <w:pPr>
        <w:jc w:val="both"/>
        <w:rPr>
          <w:rFonts w:ascii="Helvetica" w:hAnsi="Helvetica"/>
          <w:szCs w:val="20"/>
        </w:rPr>
      </w:pPr>
    </w:p>
    <w:p w:rsidR="001201B4" w:rsidRDefault="001201B4" w:rsidP="00FE5C75">
      <w:pPr>
        <w:jc w:val="both"/>
        <w:rPr>
          <w:rFonts w:ascii="Helvetica" w:hAnsi="Helvetica"/>
          <w:szCs w:val="20"/>
        </w:rPr>
      </w:pPr>
    </w:p>
    <w:p w:rsidR="001201B4" w:rsidRDefault="001201B4" w:rsidP="00FE5C75">
      <w:pPr>
        <w:jc w:val="both"/>
        <w:rPr>
          <w:rFonts w:ascii="Helvetica" w:hAnsi="Helvetica"/>
          <w:szCs w:val="20"/>
        </w:rPr>
      </w:pPr>
    </w:p>
    <w:p w:rsidR="001201B4" w:rsidRDefault="001201B4" w:rsidP="00FE5C75">
      <w:pPr>
        <w:jc w:val="both"/>
        <w:rPr>
          <w:rFonts w:ascii="Helvetica" w:hAnsi="Helvetica"/>
          <w:szCs w:val="20"/>
        </w:rPr>
      </w:pPr>
    </w:p>
    <w:p w:rsidR="00FE5C75" w:rsidRDefault="00FE5C75" w:rsidP="00FE5C75">
      <w:pPr>
        <w:pStyle w:val="Titre1"/>
        <w:jc w:val="both"/>
        <w:rPr>
          <w:rFonts w:asciiTheme="minorHAnsi" w:hAnsiTheme="minorHAnsi"/>
          <w:color w:val="auto"/>
          <w:sz w:val="40"/>
          <w:szCs w:val="40"/>
        </w:rPr>
      </w:pPr>
      <w:r>
        <w:rPr>
          <w:rFonts w:asciiTheme="minorHAnsi" w:hAnsiTheme="minorHAnsi"/>
          <w:color w:val="auto"/>
          <w:sz w:val="40"/>
          <w:szCs w:val="40"/>
        </w:rPr>
        <w:lastRenderedPageBreak/>
        <w:t>Alma Analytics</w:t>
      </w:r>
    </w:p>
    <w:p w:rsidR="00FE5C75" w:rsidRDefault="00FE5C75" w:rsidP="00FE5C75">
      <w:pPr>
        <w:jc w:val="both"/>
      </w:pPr>
    </w:p>
    <w:p w:rsidR="00FE5C75" w:rsidRDefault="00936142" w:rsidP="00FE5C75">
      <w:pPr>
        <w:pStyle w:val="Titre2"/>
        <w:jc w:val="both"/>
        <w:rPr>
          <w:rFonts w:asciiTheme="minorHAnsi" w:hAnsiTheme="minorHAnsi"/>
          <w:color w:val="auto"/>
          <w:sz w:val="32"/>
        </w:rPr>
      </w:pPr>
      <w:r>
        <w:rPr>
          <w:rFonts w:asciiTheme="minorHAnsi" w:hAnsiTheme="minorHAnsi"/>
          <w:color w:val="auto"/>
          <w:sz w:val="32"/>
        </w:rPr>
        <w:t>Extension des possibilités d’exportation programmée des rapports Alma Analytics</w:t>
      </w:r>
    </w:p>
    <w:p w:rsidR="00262B13" w:rsidRPr="00936142" w:rsidRDefault="00936142" w:rsidP="00936142">
      <w:pPr>
        <w:jc w:val="both"/>
        <w:rPr>
          <w:rFonts w:ascii="Helvetica" w:hAnsi="Helvetica"/>
          <w:color w:val="000000"/>
          <w:sz w:val="20"/>
          <w:szCs w:val="18"/>
          <w:shd w:val="clear" w:color="auto" w:fill="FFFFFF"/>
        </w:rPr>
      </w:pPr>
      <w:r w:rsidRPr="00936142">
        <w:rPr>
          <w:rFonts w:ascii="Helvetica" w:hAnsi="Helvetica"/>
          <w:color w:val="000000"/>
          <w:sz w:val="20"/>
          <w:szCs w:val="18"/>
          <w:shd w:val="clear" w:color="auto" w:fill="FFFFFF"/>
        </w:rPr>
        <w:t xml:space="preserve">A l’envoi par mail s’ajoute désormais un nouveau mode d’envoi des rapports Alma Analytics programmés : </w:t>
      </w:r>
      <w:r>
        <w:rPr>
          <w:rFonts w:ascii="Helvetica" w:hAnsi="Helvetica"/>
          <w:color w:val="000000"/>
          <w:sz w:val="20"/>
          <w:szCs w:val="18"/>
          <w:shd w:val="clear" w:color="auto" w:fill="FFFFFF"/>
        </w:rPr>
        <w:t xml:space="preserve">l’envoi par serveur SFTP. </w:t>
      </w:r>
    </w:p>
    <w:p w:rsidR="00863DDD" w:rsidRDefault="00936142" w:rsidP="00863DDD">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81432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6-26_13085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863DDD" w:rsidRDefault="00863DDD" w:rsidP="00863DDD">
      <w:pPr>
        <w:jc w:val="both"/>
        <w:rPr>
          <w:rFonts w:ascii="Helvetica" w:hAnsi="Helvetica"/>
          <w:color w:val="000000"/>
          <w:sz w:val="20"/>
          <w:szCs w:val="18"/>
          <w:shd w:val="clear" w:color="auto" w:fill="FFFFFF"/>
        </w:rPr>
      </w:pPr>
    </w:p>
    <w:p w:rsidR="00863DDD" w:rsidRDefault="00936142"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Comme souligné par Ex Libris, cette fonction offre l’intérêt de permettre un partage des rapports avec des personnes ou des services non-utilisateurs d’Alma. </w:t>
      </w:r>
    </w:p>
    <w:p w:rsidR="00AB6035" w:rsidRDefault="00AB6035" w:rsidP="00863DDD">
      <w:pPr>
        <w:jc w:val="both"/>
        <w:rPr>
          <w:rFonts w:ascii="Helvetica" w:hAnsi="Helvetica"/>
          <w:color w:val="000000"/>
          <w:sz w:val="20"/>
          <w:szCs w:val="18"/>
          <w:shd w:val="clear" w:color="auto" w:fill="FFFFFF"/>
        </w:rPr>
      </w:pPr>
    </w:p>
    <w:p w:rsidR="00AB6035" w:rsidRDefault="00AB6035" w:rsidP="00863DDD">
      <w:pPr>
        <w:jc w:val="both"/>
        <w:rPr>
          <w:rFonts w:ascii="Helvetica" w:hAnsi="Helvetica"/>
          <w:color w:val="000000"/>
          <w:sz w:val="20"/>
          <w:szCs w:val="18"/>
          <w:shd w:val="clear" w:color="auto" w:fill="FFFFFF"/>
        </w:rPr>
      </w:pPr>
    </w:p>
    <w:p w:rsidR="00AB6035" w:rsidRDefault="00AB6035" w:rsidP="00AB6035">
      <w:pPr>
        <w:pStyle w:val="Titre2"/>
        <w:jc w:val="both"/>
        <w:rPr>
          <w:rFonts w:asciiTheme="minorHAnsi" w:hAnsiTheme="minorHAnsi"/>
          <w:color w:val="auto"/>
          <w:sz w:val="32"/>
        </w:rPr>
      </w:pPr>
      <w:r>
        <w:rPr>
          <w:rFonts w:asciiTheme="minorHAnsi" w:hAnsiTheme="minorHAnsi"/>
          <w:color w:val="auto"/>
          <w:sz w:val="32"/>
        </w:rPr>
        <w:t>Renommage de champs</w:t>
      </w:r>
    </w:p>
    <w:p w:rsidR="00AB6035" w:rsidRDefault="00AB6035"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Le champ « Alternative Call Number » (ie. cote alternative de l’exemplaire) devient « Item Call Number » ; le champ « Alternative Call Number Type » (ie. cote alternative de l’exemplaire) devient « Item Call Number Type ».</w:t>
      </w:r>
    </w:p>
    <w:p w:rsidR="00AB6035" w:rsidRDefault="00AB6035" w:rsidP="00863DDD">
      <w:pPr>
        <w:jc w:val="both"/>
        <w:rPr>
          <w:rFonts w:ascii="Helvetica" w:hAnsi="Helvetica"/>
          <w:color w:val="000000"/>
          <w:sz w:val="20"/>
          <w:szCs w:val="18"/>
          <w:shd w:val="clear" w:color="auto" w:fill="FFFFFF"/>
        </w:rPr>
      </w:pPr>
    </w:p>
    <w:p w:rsidR="00AB6035" w:rsidRDefault="00AB6035" w:rsidP="00863DDD">
      <w:pPr>
        <w:jc w:val="both"/>
        <w:rPr>
          <w:rFonts w:ascii="Helvetica" w:hAnsi="Helvetica"/>
          <w:color w:val="000000"/>
          <w:sz w:val="20"/>
          <w:szCs w:val="18"/>
          <w:shd w:val="clear" w:color="auto" w:fill="FFFFFF"/>
        </w:rPr>
      </w:pPr>
    </w:p>
    <w:p w:rsidR="00AB6035" w:rsidRDefault="00AB6035" w:rsidP="00863DDD">
      <w:pPr>
        <w:jc w:val="both"/>
        <w:rPr>
          <w:rFonts w:ascii="Helvetica" w:hAnsi="Helvetica"/>
          <w:color w:val="000000"/>
          <w:sz w:val="20"/>
          <w:szCs w:val="18"/>
          <w:shd w:val="clear" w:color="auto" w:fill="FFFFFF"/>
        </w:rPr>
      </w:pPr>
    </w:p>
    <w:p w:rsidR="00936142" w:rsidRDefault="00936142" w:rsidP="00863DDD">
      <w:pPr>
        <w:jc w:val="both"/>
        <w:rPr>
          <w:rFonts w:ascii="Helvetica" w:hAnsi="Helvetica"/>
          <w:color w:val="000000"/>
          <w:sz w:val="20"/>
          <w:szCs w:val="18"/>
          <w:shd w:val="clear" w:color="auto" w:fill="FFFFFF"/>
        </w:rPr>
      </w:pPr>
    </w:p>
    <w:p w:rsidR="00863DDD" w:rsidRPr="006C3D7A" w:rsidRDefault="00863DDD" w:rsidP="006C3D7A">
      <w:pPr>
        <w:pStyle w:val="Titre1"/>
        <w:rPr>
          <w:rFonts w:asciiTheme="minorHAnsi" w:hAnsiTheme="minorHAnsi"/>
          <w:color w:val="auto"/>
          <w:sz w:val="40"/>
          <w:shd w:val="clear" w:color="auto" w:fill="FFFFFF"/>
        </w:rPr>
      </w:pPr>
      <w:r w:rsidRPr="006C3D7A">
        <w:rPr>
          <w:rFonts w:asciiTheme="minorHAnsi" w:hAnsiTheme="minorHAnsi"/>
          <w:color w:val="auto"/>
          <w:sz w:val="40"/>
          <w:shd w:val="clear" w:color="auto" w:fill="FFFFFF"/>
        </w:rPr>
        <w:t>Administration générale</w:t>
      </w:r>
    </w:p>
    <w:p w:rsidR="00863DDD" w:rsidRDefault="00863DDD" w:rsidP="00863DDD">
      <w:pPr>
        <w:jc w:val="both"/>
        <w:rPr>
          <w:rFonts w:ascii="Helvetica" w:hAnsi="Helvetica"/>
          <w:color w:val="000000"/>
          <w:sz w:val="20"/>
          <w:szCs w:val="18"/>
          <w:shd w:val="clear" w:color="auto" w:fill="FFFFFF"/>
        </w:rPr>
      </w:pPr>
    </w:p>
    <w:p w:rsidR="00863DDD" w:rsidRPr="00863DDD" w:rsidRDefault="00E93246" w:rsidP="00863DDD">
      <w:pPr>
        <w:pStyle w:val="Titre2"/>
        <w:rPr>
          <w:rFonts w:asciiTheme="minorHAnsi" w:hAnsiTheme="minorHAnsi"/>
          <w:color w:val="auto"/>
          <w:sz w:val="32"/>
          <w:shd w:val="clear" w:color="auto" w:fill="FFFFFF"/>
        </w:rPr>
      </w:pPr>
      <w:r>
        <w:rPr>
          <w:rFonts w:asciiTheme="minorHAnsi" w:hAnsiTheme="minorHAnsi"/>
          <w:color w:val="auto"/>
          <w:sz w:val="32"/>
          <w:shd w:val="clear" w:color="auto" w:fill="FFFFFF"/>
        </w:rPr>
        <w:t>Nouvelles recommandations DARA</w:t>
      </w:r>
    </w:p>
    <w:p w:rsidR="00E93246" w:rsidRDefault="00E93246"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DARA, la fonction de recommandations d’Alma, étend son champ d’activité à deux nouveaux domaines : </w:t>
      </w:r>
    </w:p>
    <w:p w:rsidR="00E93246" w:rsidRDefault="00E93246" w:rsidP="00E93246">
      <w:pPr>
        <w:pStyle w:val="Paragraphedeliste"/>
        <w:numPr>
          <w:ilvl w:val="0"/>
          <w:numId w:val="48"/>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lastRenderedPageBreak/>
        <w:t>Les acquisitions : DARA identifie pour les profils d’intégration de type « </w:t>
      </w:r>
      <w:r w:rsidRPr="00E93246">
        <w:rPr>
          <w:rFonts w:ascii="Helvetica" w:hAnsi="Helvetica"/>
          <w:color w:val="000000"/>
          <w:sz w:val="20"/>
          <w:szCs w:val="18"/>
          <w:shd w:val="clear" w:color="auto" w:fill="FFFFFF"/>
        </w:rPr>
        <w:t>Nouvelle commande API</w:t>
      </w:r>
      <w:r>
        <w:rPr>
          <w:rFonts w:ascii="Helvetica" w:hAnsi="Helvetica"/>
          <w:color w:val="000000"/>
          <w:sz w:val="20"/>
          <w:szCs w:val="18"/>
          <w:shd w:val="clear" w:color="auto" w:fill="FFFFFF"/>
        </w:rPr>
        <w:t> », ceux qui n’ont pas les options de validation des informations de commande activées et notamment l’option « </w:t>
      </w:r>
      <w:r w:rsidRPr="00E93246">
        <w:rPr>
          <w:rFonts w:ascii="Helvetica" w:hAnsi="Helvetica"/>
          <w:color w:val="000000"/>
          <w:sz w:val="20"/>
          <w:szCs w:val="18"/>
          <w:shd w:val="clear" w:color="auto" w:fill="FFFFFF"/>
        </w:rPr>
        <w:t>Le solde du compte est insuffisant pour couvrir l'engagement</w:t>
      </w:r>
      <w:r>
        <w:rPr>
          <w:rFonts w:ascii="Helvetica" w:hAnsi="Helvetica"/>
          <w:color w:val="000000"/>
          <w:sz w:val="20"/>
          <w:szCs w:val="18"/>
          <w:shd w:val="clear" w:color="auto" w:fill="FFFFFF"/>
        </w:rPr>
        <w:t> », qui permet de bloquer la création d’une commande par API lorsque le budget imputé n’est pas suffisamment abondé</w:t>
      </w:r>
    </w:p>
    <w:p w:rsidR="00E93246" w:rsidRDefault="00E93246" w:rsidP="00E93246">
      <w:pPr>
        <w:pStyle w:val="Paragraphedeliste"/>
        <w:numPr>
          <w:ilvl w:val="0"/>
          <w:numId w:val="48"/>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Les portfolios électroniques : DARA identifie les portfolios indisponibles qui nécessitent une activation. </w:t>
      </w:r>
    </w:p>
    <w:p w:rsidR="00E93246" w:rsidRDefault="00E93246" w:rsidP="00E93246">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dernière recommandation est basée sur un rapport Alma Analytics </w:t>
      </w:r>
      <w:r>
        <w:rPr>
          <w:rFonts w:ascii="Helvetica" w:hAnsi="Helvetica"/>
          <w:i/>
          <w:color w:val="000000"/>
          <w:sz w:val="20"/>
          <w:szCs w:val="18"/>
          <w:shd w:val="clear" w:color="auto" w:fill="FFFFFF"/>
        </w:rPr>
        <w:t xml:space="preserve">ad hoc </w:t>
      </w:r>
      <w:r>
        <w:rPr>
          <w:rFonts w:ascii="Helvetica" w:hAnsi="Helvetica"/>
          <w:color w:val="000000"/>
          <w:sz w:val="20"/>
          <w:szCs w:val="18"/>
          <w:shd w:val="clear" w:color="auto" w:fill="FFFFFF"/>
        </w:rPr>
        <w:t xml:space="preserve">enregistré dans le dossier de l’institution. Ce rapport peut être modifié par cette dernière, au besoin. </w:t>
      </w:r>
    </w:p>
    <w:p w:rsidR="00E93246" w:rsidRDefault="00062C53" w:rsidP="00E93246">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Cette dernière recommandation n’ayant pas pu être testée, la n</w:t>
      </w:r>
      <w:r w:rsidR="00E93246">
        <w:rPr>
          <w:rFonts w:ascii="Helvetica" w:hAnsi="Helvetica"/>
          <w:color w:val="000000"/>
          <w:sz w:val="20"/>
          <w:szCs w:val="18"/>
          <w:shd w:val="clear" w:color="auto" w:fill="FFFFFF"/>
        </w:rPr>
        <w:t xml:space="preserve">ote de version du mois prochain </w:t>
      </w:r>
      <w:r>
        <w:rPr>
          <w:rFonts w:ascii="Helvetica" w:hAnsi="Helvetica"/>
          <w:color w:val="000000"/>
          <w:sz w:val="20"/>
          <w:szCs w:val="18"/>
          <w:shd w:val="clear" w:color="auto" w:fill="FFFFFF"/>
        </w:rPr>
        <w:t xml:space="preserve">apportera des compléments dessus. On notera, au passage, que de nouvelles recommandations seront prochainement implémentées comme, semble-t-il, les titres à racheter en fonction du nombre de demandes créées.  </w:t>
      </w:r>
    </w:p>
    <w:p w:rsidR="00863DDD" w:rsidRDefault="00062C53"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L’accès à DARA se fait depuis une icône dédiée ou depuis le menu « Administrateur » (fonction « Gérer les recommandations »). L’affichage des différents types de recommandations dépend des rôles attribués aux agents. </w:t>
      </w:r>
      <w:r w:rsidR="00863DDD">
        <w:rPr>
          <w:rFonts w:ascii="Helvetica" w:hAnsi="Helvetica"/>
          <w:color w:val="000000"/>
          <w:sz w:val="20"/>
          <w:szCs w:val="18"/>
          <w:shd w:val="clear" w:color="auto" w:fill="FFFFFF"/>
        </w:rPr>
        <w:t xml:space="preserve"> </w:t>
      </w:r>
    </w:p>
    <w:p w:rsidR="00863DDD" w:rsidRDefault="00863DDD" w:rsidP="00863DDD">
      <w:pPr>
        <w:jc w:val="both"/>
        <w:rPr>
          <w:rFonts w:ascii="Helvetica" w:hAnsi="Helvetica"/>
          <w:color w:val="000000"/>
          <w:sz w:val="20"/>
          <w:szCs w:val="18"/>
          <w:shd w:val="clear" w:color="auto" w:fill="FFFFFF"/>
        </w:rPr>
      </w:pPr>
    </w:p>
    <w:p w:rsidR="00863DDD" w:rsidRDefault="00863DDD" w:rsidP="00863DDD">
      <w:pPr>
        <w:jc w:val="both"/>
        <w:rPr>
          <w:rFonts w:ascii="Helvetica" w:hAnsi="Helvetica"/>
          <w:color w:val="000000"/>
          <w:sz w:val="20"/>
          <w:szCs w:val="18"/>
          <w:shd w:val="clear" w:color="auto" w:fill="FFFFFF"/>
        </w:rPr>
      </w:pPr>
    </w:p>
    <w:sectPr w:rsidR="00863DD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AF" w:rsidRDefault="00347DAF" w:rsidP="0000222F">
      <w:pPr>
        <w:spacing w:after="0" w:line="240" w:lineRule="auto"/>
      </w:pPr>
      <w:r>
        <w:separator/>
      </w:r>
    </w:p>
  </w:endnote>
  <w:endnote w:type="continuationSeparator" w:id="0">
    <w:p w:rsidR="00347DAF" w:rsidRDefault="00347DAF"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9F7DE1">
          <w:rPr>
            <w:rFonts w:ascii="Constantia" w:hAnsi="Constantia"/>
            <w:noProof/>
            <w:sz w:val="24"/>
          </w:rPr>
          <w:t>5</w:t>
        </w:r>
        <w:r w:rsidRPr="004B003B">
          <w:rPr>
            <w:rFonts w:ascii="Constantia" w:hAnsi="Constantia"/>
            <w:sz w:val="24"/>
          </w:rPr>
          <w:fldChar w:fldCharType="end"/>
        </w:r>
      </w:p>
    </w:sdtContent>
  </w:sdt>
  <w:p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AF" w:rsidRDefault="00347DAF" w:rsidP="0000222F">
      <w:pPr>
        <w:spacing w:after="0" w:line="240" w:lineRule="auto"/>
      </w:pPr>
      <w:r>
        <w:separator/>
      </w:r>
    </w:p>
  </w:footnote>
  <w:footnote w:type="continuationSeparator" w:id="0">
    <w:p w:rsidR="00347DAF" w:rsidRDefault="00347DAF"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BD20D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Constantia" w:hAnsi="Constantia"/>
            <w:color w:val="000000" w:themeColor="text1"/>
            <w:sz w:val="20"/>
            <w:szCs w:val="20"/>
          </w:rPr>
          <w:t>Note de version Alma – Juillet 2019</w:t>
        </w:r>
      </w:sdtContent>
    </w:sdt>
  </w:p>
  <w:p w:rsidR="00347DAF" w:rsidRDefault="00347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53564"/>
    <w:multiLevelType w:val="multilevel"/>
    <w:tmpl w:val="065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82142"/>
    <w:multiLevelType w:val="hybridMultilevel"/>
    <w:tmpl w:val="3B860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251AEC"/>
    <w:multiLevelType w:val="hybridMultilevel"/>
    <w:tmpl w:val="EBC81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B2126"/>
    <w:multiLevelType w:val="multilevel"/>
    <w:tmpl w:val="C1B60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8"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4C6F96"/>
    <w:multiLevelType w:val="hybridMultilevel"/>
    <w:tmpl w:val="4176A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385BEE"/>
    <w:multiLevelType w:val="hybridMultilevel"/>
    <w:tmpl w:val="1BD61FF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CE026F"/>
    <w:multiLevelType w:val="hybridMultilevel"/>
    <w:tmpl w:val="00007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024FE1"/>
    <w:multiLevelType w:val="multilevel"/>
    <w:tmpl w:val="45C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BB3B02"/>
    <w:multiLevelType w:val="multilevel"/>
    <w:tmpl w:val="198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4"/>
  </w:num>
  <w:num w:numId="2">
    <w:abstractNumId w:val="44"/>
  </w:num>
  <w:num w:numId="3">
    <w:abstractNumId w:val="39"/>
  </w:num>
  <w:num w:numId="4">
    <w:abstractNumId w:val="18"/>
  </w:num>
  <w:num w:numId="5">
    <w:abstractNumId w:val="42"/>
  </w:num>
  <w:num w:numId="6">
    <w:abstractNumId w:val="36"/>
  </w:num>
  <w:num w:numId="7">
    <w:abstractNumId w:val="19"/>
  </w:num>
  <w:num w:numId="8">
    <w:abstractNumId w:val="23"/>
  </w:num>
  <w:num w:numId="9">
    <w:abstractNumId w:val="12"/>
  </w:num>
  <w:num w:numId="10">
    <w:abstractNumId w:val="47"/>
  </w:num>
  <w:num w:numId="11">
    <w:abstractNumId w:val="22"/>
  </w:num>
  <w:num w:numId="12">
    <w:abstractNumId w:val="43"/>
  </w:num>
  <w:num w:numId="13">
    <w:abstractNumId w:val="10"/>
  </w:num>
  <w:num w:numId="14">
    <w:abstractNumId w:val="28"/>
  </w:num>
  <w:num w:numId="15">
    <w:abstractNumId w:val="16"/>
  </w:num>
  <w:num w:numId="16">
    <w:abstractNumId w:val="24"/>
  </w:num>
  <w:num w:numId="17">
    <w:abstractNumId w:val="45"/>
  </w:num>
  <w:num w:numId="18">
    <w:abstractNumId w:val="17"/>
  </w:num>
  <w:num w:numId="19">
    <w:abstractNumId w:val="37"/>
  </w:num>
  <w:num w:numId="20">
    <w:abstractNumId w:val="48"/>
  </w:num>
  <w:num w:numId="21">
    <w:abstractNumId w:val="33"/>
  </w:num>
  <w:num w:numId="22">
    <w:abstractNumId w:val="46"/>
  </w:num>
  <w:num w:numId="23">
    <w:abstractNumId w:val="6"/>
  </w:num>
  <w:num w:numId="24">
    <w:abstractNumId w:val="14"/>
  </w:num>
  <w:num w:numId="25">
    <w:abstractNumId w:val="1"/>
  </w:num>
  <w:num w:numId="26">
    <w:abstractNumId w:val="7"/>
  </w:num>
  <w:num w:numId="27">
    <w:abstractNumId w:val="0"/>
  </w:num>
  <w:num w:numId="28">
    <w:abstractNumId w:val="8"/>
  </w:num>
  <w:num w:numId="29">
    <w:abstractNumId w:val="15"/>
  </w:num>
  <w:num w:numId="30">
    <w:abstractNumId w:val="13"/>
  </w:num>
  <w:num w:numId="31">
    <w:abstractNumId w:val="30"/>
  </w:num>
  <w:num w:numId="32">
    <w:abstractNumId w:val="21"/>
  </w:num>
  <w:num w:numId="33">
    <w:abstractNumId w:val="38"/>
  </w:num>
  <w:num w:numId="34">
    <w:abstractNumId w:val="26"/>
  </w:num>
  <w:num w:numId="35">
    <w:abstractNumId w:val="2"/>
  </w:num>
  <w:num w:numId="36">
    <w:abstractNumId w:val="34"/>
  </w:num>
  <w:num w:numId="37">
    <w:abstractNumId w:val="35"/>
  </w:num>
  <w:num w:numId="38">
    <w:abstractNumId w:val="20"/>
  </w:num>
  <w:num w:numId="39">
    <w:abstractNumId w:val="31"/>
  </w:num>
  <w:num w:numId="40">
    <w:abstractNumId w:val="40"/>
  </w:num>
  <w:num w:numId="41">
    <w:abstractNumId w:val="29"/>
  </w:num>
  <w:num w:numId="42">
    <w:abstractNumId w:val="5"/>
  </w:num>
  <w:num w:numId="43">
    <w:abstractNumId w:val="3"/>
  </w:num>
  <w:num w:numId="44">
    <w:abstractNumId w:val="32"/>
  </w:num>
  <w:num w:numId="45">
    <w:abstractNumId w:val="41"/>
  </w:num>
  <w:num w:numId="46">
    <w:abstractNumId w:val="25"/>
  </w:num>
  <w:num w:numId="47">
    <w:abstractNumId w:val="9"/>
  </w:num>
  <w:num w:numId="48">
    <w:abstractNumId w:val="27"/>
  </w:num>
  <w:num w:numId="4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B4"/>
    <w:rsid w:val="0000222F"/>
    <w:rsid w:val="00005002"/>
    <w:rsid w:val="00012B9E"/>
    <w:rsid w:val="00014F96"/>
    <w:rsid w:val="00024F2F"/>
    <w:rsid w:val="00025E7E"/>
    <w:rsid w:val="0002716A"/>
    <w:rsid w:val="0003678A"/>
    <w:rsid w:val="00036CBD"/>
    <w:rsid w:val="000401DE"/>
    <w:rsid w:val="00041564"/>
    <w:rsid w:val="000511AD"/>
    <w:rsid w:val="00062C53"/>
    <w:rsid w:val="000736F5"/>
    <w:rsid w:val="000873D3"/>
    <w:rsid w:val="000C59D6"/>
    <w:rsid w:val="000D3C15"/>
    <w:rsid w:val="000D6D4E"/>
    <w:rsid w:val="000F3190"/>
    <w:rsid w:val="000F747B"/>
    <w:rsid w:val="00102B8A"/>
    <w:rsid w:val="0010457B"/>
    <w:rsid w:val="00105490"/>
    <w:rsid w:val="00111459"/>
    <w:rsid w:val="00112A0B"/>
    <w:rsid w:val="00117E9B"/>
    <w:rsid w:val="001201B4"/>
    <w:rsid w:val="00145FE2"/>
    <w:rsid w:val="001470CD"/>
    <w:rsid w:val="001650B2"/>
    <w:rsid w:val="001701A0"/>
    <w:rsid w:val="00172A1B"/>
    <w:rsid w:val="001C53F4"/>
    <w:rsid w:val="001E03D0"/>
    <w:rsid w:val="001E3A89"/>
    <w:rsid w:val="001F1BC0"/>
    <w:rsid w:val="0020526F"/>
    <w:rsid w:val="00214FC2"/>
    <w:rsid w:val="00261FDF"/>
    <w:rsid w:val="00262B13"/>
    <w:rsid w:val="00270474"/>
    <w:rsid w:val="00272361"/>
    <w:rsid w:val="00274673"/>
    <w:rsid w:val="00275004"/>
    <w:rsid w:val="00285875"/>
    <w:rsid w:val="0029509B"/>
    <w:rsid w:val="002A70D3"/>
    <w:rsid w:val="002A7A9B"/>
    <w:rsid w:val="002C4D55"/>
    <w:rsid w:val="002F1327"/>
    <w:rsid w:val="002F7B16"/>
    <w:rsid w:val="00307E00"/>
    <w:rsid w:val="00321A9A"/>
    <w:rsid w:val="003224A7"/>
    <w:rsid w:val="0032429A"/>
    <w:rsid w:val="003251D8"/>
    <w:rsid w:val="00326913"/>
    <w:rsid w:val="003474A7"/>
    <w:rsid w:val="00347DAF"/>
    <w:rsid w:val="00355D48"/>
    <w:rsid w:val="00361902"/>
    <w:rsid w:val="00364FCC"/>
    <w:rsid w:val="003A0D01"/>
    <w:rsid w:val="003A762F"/>
    <w:rsid w:val="003D3BED"/>
    <w:rsid w:val="003E09B8"/>
    <w:rsid w:val="003E38D0"/>
    <w:rsid w:val="003E5F2E"/>
    <w:rsid w:val="003F402B"/>
    <w:rsid w:val="00415DFF"/>
    <w:rsid w:val="004206D0"/>
    <w:rsid w:val="00441B1F"/>
    <w:rsid w:val="00443F9F"/>
    <w:rsid w:val="0045770F"/>
    <w:rsid w:val="0045797F"/>
    <w:rsid w:val="004664C3"/>
    <w:rsid w:val="004673BE"/>
    <w:rsid w:val="004679EA"/>
    <w:rsid w:val="0047260A"/>
    <w:rsid w:val="00474B3A"/>
    <w:rsid w:val="0048554F"/>
    <w:rsid w:val="00486028"/>
    <w:rsid w:val="00486537"/>
    <w:rsid w:val="004902A6"/>
    <w:rsid w:val="00491A58"/>
    <w:rsid w:val="00491C52"/>
    <w:rsid w:val="00494A30"/>
    <w:rsid w:val="004A67C3"/>
    <w:rsid w:val="004A6BC9"/>
    <w:rsid w:val="004A7E7A"/>
    <w:rsid w:val="004B003B"/>
    <w:rsid w:val="004B5E2C"/>
    <w:rsid w:val="004D0282"/>
    <w:rsid w:val="004E50F5"/>
    <w:rsid w:val="005007A3"/>
    <w:rsid w:val="005214E6"/>
    <w:rsid w:val="00524A5D"/>
    <w:rsid w:val="00535A67"/>
    <w:rsid w:val="005370F4"/>
    <w:rsid w:val="0054008B"/>
    <w:rsid w:val="00540F8B"/>
    <w:rsid w:val="00541138"/>
    <w:rsid w:val="00550E1E"/>
    <w:rsid w:val="0055368B"/>
    <w:rsid w:val="005656F2"/>
    <w:rsid w:val="005772B3"/>
    <w:rsid w:val="00583BDD"/>
    <w:rsid w:val="00585D27"/>
    <w:rsid w:val="005A408F"/>
    <w:rsid w:val="005A4119"/>
    <w:rsid w:val="005B6C9E"/>
    <w:rsid w:val="005C0361"/>
    <w:rsid w:val="005C2C1F"/>
    <w:rsid w:val="005D2440"/>
    <w:rsid w:val="005D75FA"/>
    <w:rsid w:val="005E08E8"/>
    <w:rsid w:val="005E6A4B"/>
    <w:rsid w:val="005E6DCD"/>
    <w:rsid w:val="005F052D"/>
    <w:rsid w:val="006148A9"/>
    <w:rsid w:val="00636B65"/>
    <w:rsid w:val="00640F75"/>
    <w:rsid w:val="00657179"/>
    <w:rsid w:val="00681DFC"/>
    <w:rsid w:val="00695161"/>
    <w:rsid w:val="00695988"/>
    <w:rsid w:val="006B3C74"/>
    <w:rsid w:val="006B7860"/>
    <w:rsid w:val="006C3D7A"/>
    <w:rsid w:val="006C5B78"/>
    <w:rsid w:val="006D416A"/>
    <w:rsid w:val="006F79D3"/>
    <w:rsid w:val="00703D19"/>
    <w:rsid w:val="00707575"/>
    <w:rsid w:val="00721FB1"/>
    <w:rsid w:val="00737F51"/>
    <w:rsid w:val="007423BA"/>
    <w:rsid w:val="00744D74"/>
    <w:rsid w:val="00745935"/>
    <w:rsid w:val="00763E4A"/>
    <w:rsid w:val="00784A00"/>
    <w:rsid w:val="00791893"/>
    <w:rsid w:val="007A586E"/>
    <w:rsid w:val="007A5C14"/>
    <w:rsid w:val="007B4945"/>
    <w:rsid w:val="007C474D"/>
    <w:rsid w:val="007E723C"/>
    <w:rsid w:val="007F1B48"/>
    <w:rsid w:val="00802C71"/>
    <w:rsid w:val="00805200"/>
    <w:rsid w:val="008071FD"/>
    <w:rsid w:val="00813BFE"/>
    <w:rsid w:val="0082353A"/>
    <w:rsid w:val="008275DC"/>
    <w:rsid w:val="00830066"/>
    <w:rsid w:val="0083132C"/>
    <w:rsid w:val="008358D1"/>
    <w:rsid w:val="00854DA3"/>
    <w:rsid w:val="00861AD0"/>
    <w:rsid w:val="00863DDD"/>
    <w:rsid w:val="00892E14"/>
    <w:rsid w:val="00894A43"/>
    <w:rsid w:val="008A04F6"/>
    <w:rsid w:val="008B2251"/>
    <w:rsid w:val="008B4BE1"/>
    <w:rsid w:val="008B5D6E"/>
    <w:rsid w:val="008B6CE6"/>
    <w:rsid w:val="008C63D9"/>
    <w:rsid w:val="008D0B16"/>
    <w:rsid w:val="008D5E7F"/>
    <w:rsid w:val="008D669B"/>
    <w:rsid w:val="00921EF0"/>
    <w:rsid w:val="00936142"/>
    <w:rsid w:val="0094093B"/>
    <w:rsid w:val="0094099C"/>
    <w:rsid w:val="00957BB2"/>
    <w:rsid w:val="00961C39"/>
    <w:rsid w:val="00976C63"/>
    <w:rsid w:val="00984A2A"/>
    <w:rsid w:val="009868D5"/>
    <w:rsid w:val="0099021A"/>
    <w:rsid w:val="009922B4"/>
    <w:rsid w:val="00997C68"/>
    <w:rsid w:val="009B26B5"/>
    <w:rsid w:val="009C0F47"/>
    <w:rsid w:val="009C2364"/>
    <w:rsid w:val="009D1495"/>
    <w:rsid w:val="009D56DD"/>
    <w:rsid w:val="009D7D87"/>
    <w:rsid w:val="009F7DE1"/>
    <w:rsid w:val="00A000A4"/>
    <w:rsid w:val="00A032F5"/>
    <w:rsid w:val="00A20C95"/>
    <w:rsid w:val="00A30750"/>
    <w:rsid w:val="00A432A7"/>
    <w:rsid w:val="00A51303"/>
    <w:rsid w:val="00A616A7"/>
    <w:rsid w:val="00A75AC2"/>
    <w:rsid w:val="00A77C5E"/>
    <w:rsid w:val="00A830B5"/>
    <w:rsid w:val="00A9096E"/>
    <w:rsid w:val="00AA2219"/>
    <w:rsid w:val="00AA52A5"/>
    <w:rsid w:val="00AB09C4"/>
    <w:rsid w:val="00AB6035"/>
    <w:rsid w:val="00AD0E4D"/>
    <w:rsid w:val="00AD218A"/>
    <w:rsid w:val="00AD5CF2"/>
    <w:rsid w:val="00AF0106"/>
    <w:rsid w:val="00AF1418"/>
    <w:rsid w:val="00B202CE"/>
    <w:rsid w:val="00B22555"/>
    <w:rsid w:val="00B43534"/>
    <w:rsid w:val="00B45BD6"/>
    <w:rsid w:val="00B60CFB"/>
    <w:rsid w:val="00B62FD4"/>
    <w:rsid w:val="00B65A84"/>
    <w:rsid w:val="00B65AA3"/>
    <w:rsid w:val="00B7042F"/>
    <w:rsid w:val="00B733AC"/>
    <w:rsid w:val="00B9082F"/>
    <w:rsid w:val="00B918BB"/>
    <w:rsid w:val="00B9329E"/>
    <w:rsid w:val="00BB4679"/>
    <w:rsid w:val="00BD096F"/>
    <w:rsid w:val="00BD2AA4"/>
    <w:rsid w:val="00BD4AD5"/>
    <w:rsid w:val="00BD53C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96FF6"/>
    <w:rsid w:val="00CA085C"/>
    <w:rsid w:val="00CA19C1"/>
    <w:rsid w:val="00CB5465"/>
    <w:rsid w:val="00CB7EB4"/>
    <w:rsid w:val="00CC11CF"/>
    <w:rsid w:val="00CD1F44"/>
    <w:rsid w:val="00CE1D11"/>
    <w:rsid w:val="00CF1D7F"/>
    <w:rsid w:val="00D015CD"/>
    <w:rsid w:val="00D03220"/>
    <w:rsid w:val="00D17106"/>
    <w:rsid w:val="00D24698"/>
    <w:rsid w:val="00D24F72"/>
    <w:rsid w:val="00D25941"/>
    <w:rsid w:val="00D34BC5"/>
    <w:rsid w:val="00D36CF5"/>
    <w:rsid w:val="00D4164C"/>
    <w:rsid w:val="00D426EA"/>
    <w:rsid w:val="00D45973"/>
    <w:rsid w:val="00D50587"/>
    <w:rsid w:val="00D50A0E"/>
    <w:rsid w:val="00D50E3E"/>
    <w:rsid w:val="00D55233"/>
    <w:rsid w:val="00D65525"/>
    <w:rsid w:val="00D70AEC"/>
    <w:rsid w:val="00D74046"/>
    <w:rsid w:val="00D75DC5"/>
    <w:rsid w:val="00D872C1"/>
    <w:rsid w:val="00D94796"/>
    <w:rsid w:val="00DA5EAF"/>
    <w:rsid w:val="00DB33B9"/>
    <w:rsid w:val="00DB7EF8"/>
    <w:rsid w:val="00DC1426"/>
    <w:rsid w:val="00DD1B82"/>
    <w:rsid w:val="00DF2422"/>
    <w:rsid w:val="00E0351C"/>
    <w:rsid w:val="00E039CD"/>
    <w:rsid w:val="00E07DCD"/>
    <w:rsid w:val="00E10427"/>
    <w:rsid w:val="00E122BD"/>
    <w:rsid w:val="00E171FB"/>
    <w:rsid w:val="00E26911"/>
    <w:rsid w:val="00E53580"/>
    <w:rsid w:val="00E538CA"/>
    <w:rsid w:val="00E5653F"/>
    <w:rsid w:val="00E73D26"/>
    <w:rsid w:val="00E8143C"/>
    <w:rsid w:val="00E93246"/>
    <w:rsid w:val="00E93B8F"/>
    <w:rsid w:val="00EA6047"/>
    <w:rsid w:val="00EA6656"/>
    <w:rsid w:val="00EA7543"/>
    <w:rsid w:val="00EB1500"/>
    <w:rsid w:val="00EB4EBC"/>
    <w:rsid w:val="00EC0880"/>
    <w:rsid w:val="00EC6CA5"/>
    <w:rsid w:val="00ED701C"/>
    <w:rsid w:val="00EE16BA"/>
    <w:rsid w:val="00EE6D01"/>
    <w:rsid w:val="00F0245E"/>
    <w:rsid w:val="00F07BFE"/>
    <w:rsid w:val="00F106C0"/>
    <w:rsid w:val="00F14E5C"/>
    <w:rsid w:val="00F22251"/>
    <w:rsid w:val="00F25316"/>
    <w:rsid w:val="00F2661B"/>
    <w:rsid w:val="00F35C24"/>
    <w:rsid w:val="00F3668E"/>
    <w:rsid w:val="00F463DC"/>
    <w:rsid w:val="00F640D9"/>
    <w:rsid w:val="00F670DA"/>
    <w:rsid w:val="00F74BB6"/>
    <w:rsid w:val="00F76866"/>
    <w:rsid w:val="00F837A5"/>
    <w:rsid w:val="00FB391E"/>
    <w:rsid w:val="00FC2455"/>
    <w:rsid w:val="00FC3200"/>
    <w:rsid w:val="00FC7650"/>
    <w:rsid w:val="00FD5AC0"/>
    <w:rsid w:val="00FD7437"/>
    <w:rsid w:val="00FE5C75"/>
    <w:rsid w:val="00FE670C"/>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7D8C1D6"/>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009_2019/Alma_2019_Release_Notes?mon=201907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253EAA"/>
    <w:rsid w:val="003C51E5"/>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EA4E-E9AF-4E92-A4EF-3B45E3F3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8</Pages>
  <Words>1178</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Note de version Alma – Juillet 2019</vt:lpstr>
    </vt:vector>
  </TitlesOfParts>
  <Company>Microsoft</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Juillet 2019</dc:title>
  <dc:subject/>
  <dc:creator>Loïc Ducasse</dc:creator>
  <cp:keywords/>
  <dc:description/>
  <cp:lastModifiedBy>Loic Ducasse</cp:lastModifiedBy>
  <cp:revision>11</cp:revision>
  <dcterms:created xsi:type="dcterms:W3CDTF">2019-06-26T08:08:00Z</dcterms:created>
  <dcterms:modified xsi:type="dcterms:W3CDTF">2019-07-05T10:01:00Z</dcterms:modified>
</cp:coreProperties>
</file>