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2B4" w:rsidRPr="0000222F" w:rsidRDefault="00117E9B" w:rsidP="0000222F">
      <w:pPr>
        <w:pStyle w:val="Citationintense"/>
        <w:rPr>
          <w:rStyle w:val="Emphaseple"/>
          <w:b/>
          <w:sz w:val="56"/>
        </w:rPr>
      </w:pPr>
      <w:r>
        <w:rPr>
          <w:rStyle w:val="Emphaseple"/>
          <w:b/>
          <w:sz w:val="56"/>
        </w:rPr>
        <w:t xml:space="preserve">Note de version Alma – </w:t>
      </w:r>
      <w:r w:rsidR="00270474">
        <w:rPr>
          <w:rStyle w:val="Emphaseple"/>
          <w:b/>
          <w:sz w:val="56"/>
        </w:rPr>
        <w:t>Novembre</w:t>
      </w:r>
      <w:r>
        <w:rPr>
          <w:rStyle w:val="Emphaseple"/>
          <w:b/>
          <w:sz w:val="56"/>
        </w:rPr>
        <w:t xml:space="preserve"> 2018</w:t>
      </w:r>
    </w:p>
    <w:p w:rsidR="004B003B" w:rsidRDefault="004B003B" w:rsidP="004B003B"/>
    <w:p w:rsidR="009868D5" w:rsidRPr="00270474" w:rsidRDefault="009868D5" w:rsidP="004B003B">
      <w:pPr>
        <w:rPr>
          <w:rFonts w:ascii="Helvetica" w:hAnsi="Helvetica" w:cs="Helvetica"/>
          <w:sz w:val="16"/>
          <w:szCs w:val="16"/>
        </w:rPr>
      </w:pPr>
      <w:r w:rsidRPr="00270474">
        <w:rPr>
          <w:rFonts w:ascii="Helvetica" w:hAnsi="Helvetica" w:cs="Helvetica"/>
          <w:sz w:val="16"/>
          <w:szCs w:val="16"/>
        </w:rPr>
        <w:t xml:space="preserve">Source : </w:t>
      </w:r>
      <w:hyperlink r:id="rId8" w:history="1">
        <w:r w:rsidR="00270474" w:rsidRPr="00270474">
          <w:rPr>
            <w:rStyle w:val="Lienhypertexte"/>
            <w:rFonts w:ascii="Helvetica" w:hAnsi="Helvetica"/>
            <w:sz w:val="16"/>
            <w:szCs w:val="16"/>
          </w:rPr>
          <w:t>https://knowledge.exlibrisgroup.com/Alma/Release_Notes/010_2018/Alma_2018_Release_Notes?mon=201811BASE</w:t>
        </w:r>
      </w:hyperlink>
      <w:r w:rsidR="00270474" w:rsidRPr="00270474">
        <w:rPr>
          <w:rFonts w:ascii="Helvetica" w:hAnsi="Helvetica"/>
          <w:sz w:val="16"/>
          <w:szCs w:val="16"/>
        </w:rPr>
        <w:t xml:space="preserve"> </w:t>
      </w:r>
      <w:r w:rsidRPr="00270474">
        <w:rPr>
          <w:rFonts w:ascii="Helvetica" w:hAnsi="Helvetica" w:cs="Helvetica"/>
          <w:sz w:val="16"/>
          <w:szCs w:val="16"/>
        </w:rPr>
        <w:t xml:space="preserve"> </w:t>
      </w:r>
    </w:p>
    <w:p w:rsidR="009868D5" w:rsidRDefault="009868D5" w:rsidP="004B003B"/>
    <w:p w:rsidR="00036CBD" w:rsidRDefault="00270474" w:rsidP="004679EA">
      <w:pPr>
        <w:pStyle w:val="Titre1"/>
        <w:jc w:val="both"/>
        <w:rPr>
          <w:rFonts w:asciiTheme="minorHAnsi" w:hAnsiTheme="minorHAnsi"/>
          <w:color w:val="auto"/>
          <w:sz w:val="40"/>
          <w:szCs w:val="40"/>
        </w:rPr>
      </w:pPr>
      <w:bookmarkStart w:id="0" w:name="OLE_LINK1"/>
      <w:bookmarkStart w:id="1" w:name="OLE_LINK2"/>
      <w:r>
        <w:rPr>
          <w:rFonts w:asciiTheme="minorHAnsi" w:hAnsiTheme="minorHAnsi"/>
          <w:color w:val="auto"/>
          <w:sz w:val="40"/>
          <w:szCs w:val="40"/>
        </w:rPr>
        <w:t>Administration générale</w:t>
      </w:r>
    </w:p>
    <w:p w:rsidR="00117E9B" w:rsidRDefault="00117E9B" w:rsidP="004679EA">
      <w:pPr>
        <w:jc w:val="both"/>
      </w:pPr>
    </w:p>
    <w:p w:rsidR="00117E9B" w:rsidRDefault="00270474" w:rsidP="004679EA">
      <w:pPr>
        <w:pStyle w:val="Titre2"/>
        <w:jc w:val="both"/>
        <w:rPr>
          <w:rFonts w:asciiTheme="minorHAnsi" w:hAnsiTheme="minorHAnsi"/>
          <w:color w:val="auto"/>
          <w:sz w:val="32"/>
        </w:rPr>
      </w:pPr>
      <w:r>
        <w:rPr>
          <w:rFonts w:asciiTheme="minorHAnsi" w:hAnsiTheme="minorHAnsi"/>
          <w:color w:val="auto"/>
          <w:sz w:val="32"/>
        </w:rPr>
        <w:t>Remise en rayon sans transfert</w:t>
      </w:r>
    </w:p>
    <w:p w:rsidR="00117E9B" w:rsidRDefault="00F670DA" w:rsidP="004679EA">
      <w:pPr>
        <w:jc w:val="both"/>
        <w:rPr>
          <w:rFonts w:ascii="Helvetica" w:hAnsi="Helvetica"/>
          <w:sz w:val="20"/>
        </w:rPr>
      </w:pPr>
      <w:r w:rsidRPr="00F670DA">
        <w:rPr>
          <w:rFonts w:ascii="Helvetica" w:hAnsi="Helvetica"/>
          <w:sz w:val="20"/>
        </w:rPr>
        <w:t xml:space="preserve">Actuellement les exemplaires de monographie </w:t>
      </w:r>
      <w:r>
        <w:rPr>
          <w:rFonts w:ascii="Helvetica" w:hAnsi="Helvetica"/>
          <w:sz w:val="20"/>
        </w:rPr>
        <w:t xml:space="preserve">réceptionnés sont placés en transit vers le bureau de prêt en vue de leur remise en rayon, que ce soit avec le circuit de traitement court (case « Garder dans le département » décochée) comme avec le circuit de traitement long (case « Garder dans le département » cochée). Pour prendre un statut « en rayon », ils doivent être systématiquement scannés en retour depuis le bureau de prêt. </w:t>
      </w:r>
    </w:p>
    <w:p w:rsidR="00F670DA" w:rsidRDefault="00F670DA" w:rsidP="00F670DA">
      <w:pPr>
        <w:jc w:val="both"/>
        <w:rPr>
          <w:rFonts w:ascii="Helvetica" w:hAnsi="Helvetica"/>
          <w:sz w:val="20"/>
        </w:rPr>
      </w:pPr>
      <w:r>
        <w:rPr>
          <w:rFonts w:ascii="Helvetica" w:hAnsi="Helvetica"/>
          <w:sz w:val="20"/>
        </w:rPr>
        <w:t>Ce mode de fonctionnement présente l’inconvénient de multiplier l</w:t>
      </w:r>
      <w:r w:rsidRPr="00F670DA">
        <w:rPr>
          <w:rFonts w:ascii="Helvetica" w:hAnsi="Helvetica"/>
          <w:sz w:val="20"/>
        </w:rPr>
        <w:t>es manipulations, particulièrement pour les petites bibliothèques où la même personne réceptionne, traite et met en rayon</w:t>
      </w:r>
      <w:r>
        <w:rPr>
          <w:rFonts w:ascii="Helvetica" w:hAnsi="Helvetica"/>
          <w:sz w:val="20"/>
        </w:rPr>
        <w:t xml:space="preserve">, et d’augmenter les risques d’erreurs : pour les bibliothèques utilisant le circuit long, il a été constaté que de nombreux exemplaires étaient redemandés par le département d’acquisition au moment de leur passage au retour, faute d’avoir été sortis proprement de ce département à l’issue du traitement (clic sur « Effectué » depuis la liste des exemplaires en cours de traitement ou scan du code-barres avec le bouton radio positionné sur </w:t>
      </w:r>
      <w:r w:rsidR="00F2661B">
        <w:rPr>
          <w:rFonts w:ascii="Helvetica" w:hAnsi="Helvetica"/>
          <w:sz w:val="20"/>
        </w:rPr>
        <w:t>« Oui » à l’item « Effectué »</w:t>
      </w:r>
      <w:r>
        <w:rPr>
          <w:rFonts w:ascii="Helvetica" w:hAnsi="Helvetica"/>
          <w:sz w:val="20"/>
        </w:rPr>
        <w:t xml:space="preserve">). </w:t>
      </w:r>
    </w:p>
    <w:p w:rsidR="003D3BED" w:rsidRDefault="00F670DA" w:rsidP="00F670DA">
      <w:pPr>
        <w:jc w:val="both"/>
        <w:rPr>
          <w:rFonts w:ascii="Helvetica" w:hAnsi="Helvetica"/>
          <w:sz w:val="20"/>
        </w:rPr>
      </w:pPr>
      <w:r>
        <w:rPr>
          <w:rFonts w:ascii="Helvetica" w:hAnsi="Helvetica"/>
          <w:sz w:val="20"/>
        </w:rPr>
        <w:t>Un nouveau paramètre d’Alma</w:t>
      </w:r>
      <w:r w:rsidR="003D3BED">
        <w:rPr>
          <w:rFonts w:ascii="Helvetica" w:hAnsi="Helvetica"/>
          <w:sz w:val="20"/>
        </w:rPr>
        <w:t>, configurable pour toutes les bibliothèques à la fois ou bibliothèque par bibliothèque, permet désormais</w:t>
      </w:r>
      <w:r>
        <w:rPr>
          <w:rFonts w:ascii="Helvetica" w:hAnsi="Helvetica"/>
          <w:sz w:val="20"/>
        </w:rPr>
        <w:t xml:space="preserve"> d’autoriser la mise en rayon immédiate des exemplaires, sans passage par le processus « transit ». </w:t>
      </w:r>
    </w:p>
    <w:p w:rsidR="00F670DA" w:rsidRDefault="003D3BED" w:rsidP="00F670DA">
      <w:pPr>
        <w:jc w:val="both"/>
        <w:rPr>
          <w:rFonts w:ascii="Helvetica" w:hAnsi="Helvetica"/>
          <w:sz w:val="20"/>
        </w:rPr>
      </w:pPr>
      <w:r>
        <w:rPr>
          <w:rFonts w:ascii="Helvetica" w:hAnsi="Helvetica"/>
          <w:sz w:val="20"/>
        </w:rPr>
        <w:t xml:space="preserve">Ce mode de fonctionnement est identique à celui déjà en vigueur pour les exemplaires de fascicules de périodiques réceptionnés depuis la fonction « Réception » d’Alma : ils sont considérés immédiatement comme « en rayon ». </w:t>
      </w:r>
    </w:p>
    <w:p w:rsidR="00B7042F" w:rsidRDefault="00B7042F" w:rsidP="00F670DA">
      <w:pPr>
        <w:jc w:val="both"/>
        <w:rPr>
          <w:rFonts w:ascii="Helvetica" w:hAnsi="Helvetica"/>
          <w:i/>
          <w:sz w:val="20"/>
        </w:rPr>
      </w:pPr>
    </w:p>
    <w:p w:rsidR="00B7042F" w:rsidRDefault="00B7042F" w:rsidP="00F670DA">
      <w:pPr>
        <w:jc w:val="both"/>
        <w:rPr>
          <w:rFonts w:ascii="Helvetica" w:hAnsi="Helvetica"/>
          <w:i/>
          <w:sz w:val="20"/>
        </w:rPr>
      </w:pPr>
    </w:p>
    <w:p w:rsidR="00B7042F" w:rsidRDefault="00B7042F" w:rsidP="00F670DA">
      <w:pPr>
        <w:jc w:val="both"/>
        <w:rPr>
          <w:rFonts w:ascii="Helvetica" w:hAnsi="Helvetica"/>
          <w:i/>
          <w:sz w:val="20"/>
        </w:rPr>
      </w:pPr>
    </w:p>
    <w:p w:rsidR="00B7042F" w:rsidRDefault="00B7042F" w:rsidP="00F670DA">
      <w:pPr>
        <w:jc w:val="both"/>
        <w:rPr>
          <w:rFonts w:ascii="Helvetica" w:hAnsi="Helvetica"/>
          <w:i/>
          <w:sz w:val="20"/>
        </w:rPr>
      </w:pPr>
    </w:p>
    <w:p w:rsidR="00B7042F" w:rsidRDefault="00B7042F" w:rsidP="00F670DA">
      <w:pPr>
        <w:jc w:val="both"/>
        <w:rPr>
          <w:rFonts w:ascii="Helvetica" w:hAnsi="Helvetica"/>
          <w:i/>
          <w:sz w:val="20"/>
        </w:rPr>
      </w:pPr>
    </w:p>
    <w:p w:rsidR="00B7042F" w:rsidRDefault="00B7042F" w:rsidP="00F670DA">
      <w:pPr>
        <w:jc w:val="both"/>
        <w:rPr>
          <w:rFonts w:ascii="Helvetica" w:hAnsi="Helvetica"/>
          <w:i/>
          <w:sz w:val="20"/>
        </w:rPr>
      </w:pPr>
    </w:p>
    <w:p w:rsidR="00B7042F" w:rsidRDefault="00B7042F" w:rsidP="00F670DA">
      <w:pPr>
        <w:jc w:val="both"/>
        <w:rPr>
          <w:rFonts w:ascii="Helvetica" w:hAnsi="Helvetica"/>
          <w:i/>
          <w:sz w:val="20"/>
        </w:rPr>
      </w:pPr>
    </w:p>
    <w:p w:rsidR="00B7042F" w:rsidRDefault="00B7042F" w:rsidP="00F670DA">
      <w:pPr>
        <w:jc w:val="both"/>
        <w:rPr>
          <w:rFonts w:ascii="Helvetica" w:hAnsi="Helvetica"/>
          <w:i/>
          <w:sz w:val="20"/>
        </w:rPr>
      </w:pPr>
    </w:p>
    <w:p w:rsidR="00B7042F" w:rsidRDefault="00B7042F" w:rsidP="00F670DA">
      <w:pPr>
        <w:jc w:val="both"/>
        <w:rPr>
          <w:rFonts w:ascii="Helvetica" w:hAnsi="Helvetica"/>
          <w:i/>
          <w:sz w:val="20"/>
        </w:rPr>
      </w:pPr>
    </w:p>
    <w:p w:rsidR="00B7042F" w:rsidRPr="00B7042F" w:rsidRDefault="00B7042F" w:rsidP="00F670DA">
      <w:pPr>
        <w:jc w:val="both"/>
        <w:rPr>
          <w:rFonts w:ascii="Helvetica" w:hAnsi="Helvetica"/>
          <w:i/>
          <w:sz w:val="20"/>
        </w:rPr>
      </w:pPr>
      <w:r>
        <w:rPr>
          <w:rFonts w:ascii="Helvetica" w:hAnsi="Helvetica"/>
          <w:i/>
          <w:sz w:val="20"/>
        </w:rPr>
        <w:lastRenderedPageBreak/>
        <w:t>Table de configuration</w:t>
      </w:r>
    </w:p>
    <w:p w:rsidR="003D3BED" w:rsidRDefault="00B7042F" w:rsidP="00F670DA">
      <w:pPr>
        <w:jc w:val="both"/>
        <w:rPr>
          <w:rFonts w:ascii="Helvetica" w:hAnsi="Helvetica"/>
          <w:sz w:val="20"/>
        </w:rPr>
      </w:pPr>
      <w:r>
        <w:rPr>
          <w:rFonts w:ascii="Helvetica" w:hAnsi="Helvetica"/>
          <w:noProof/>
          <w:sz w:val="20"/>
          <w:lang w:eastAsia="fr-FR"/>
        </w:rPr>
        <w:drawing>
          <wp:inline distT="0" distB="0" distL="0" distR="0">
            <wp:extent cx="5760720" cy="2817495"/>
            <wp:effectExtent l="0" t="0" r="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10-24_143837.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2817495"/>
                    </a:xfrm>
                    <a:prstGeom prst="rect">
                      <a:avLst/>
                    </a:prstGeom>
                  </pic:spPr>
                </pic:pic>
              </a:graphicData>
            </a:graphic>
          </wp:inline>
        </w:drawing>
      </w:r>
    </w:p>
    <w:p w:rsidR="003D3BED" w:rsidRDefault="003D3BED" w:rsidP="00F670DA">
      <w:pPr>
        <w:jc w:val="both"/>
        <w:rPr>
          <w:rFonts w:ascii="Helvetica" w:hAnsi="Helvetica"/>
          <w:noProof/>
          <w:sz w:val="20"/>
          <w:lang w:eastAsia="fr-FR"/>
        </w:rPr>
      </w:pPr>
    </w:p>
    <w:p w:rsidR="00B7042F" w:rsidRDefault="00B7042F" w:rsidP="00F670DA">
      <w:pPr>
        <w:jc w:val="both"/>
        <w:rPr>
          <w:rFonts w:ascii="Helvetica" w:hAnsi="Helvetica"/>
          <w:i/>
          <w:noProof/>
          <w:sz w:val="20"/>
          <w:lang w:eastAsia="fr-FR"/>
        </w:rPr>
      </w:pPr>
      <w:r>
        <w:rPr>
          <w:rFonts w:ascii="Helvetica" w:hAnsi="Helvetica"/>
          <w:i/>
          <w:noProof/>
          <w:sz w:val="20"/>
          <w:lang w:eastAsia="fr-FR"/>
        </w:rPr>
        <w:t>Réception « circuit court »</w:t>
      </w:r>
    </w:p>
    <w:p w:rsidR="00B7042F" w:rsidRDefault="00B7042F" w:rsidP="00F670DA">
      <w:pPr>
        <w:jc w:val="both"/>
        <w:rPr>
          <w:rFonts w:ascii="Helvetica" w:hAnsi="Helvetica"/>
          <w:i/>
          <w:noProof/>
          <w:sz w:val="20"/>
          <w:lang w:eastAsia="fr-FR"/>
        </w:rPr>
      </w:pPr>
      <w:r>
        <w:rPr>
          <w:rFonts w:ascii="Helvetica" w:hAnsi="Helvetica"/>
          <w:i/>
          <w:noProof/>
          <w:sz w:val="20"/>
          <w:lang w:eastAsia="fr-FR"/>
        </w:rPr>
        <w:drawing>
          <wp:inline distT="0" distB="0" distL="0" distR="0">
            <wp:extent cx="5760720" cy="213487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8-10-24_144353.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720" cy="2134870"/>
                    </a:xfrm>
                    <a:prstGeom prst="rect">
                      <a:avLst/>
                    </a:prstGeom>
                  </pic:spPr>
                </pic:pic>
              </a:graphicData>
            </a:graphic>
          </wp:inline>
        </w:drawing>
      </w:r>
    </w:p>
    <w:p w:rsidR="00B7042F" w:rsidRDefault="00B7042F" w:rsidP="00F670DA">
      <w:pPr>
        <w:jc w:val="both"/>
        <w:rPr>
          <w:rFonts w:ascii="Helvetica" w:hAnsi="Helvetica"/>
          <w:i/>
          <w:noProof/>
          <w:sz w:val="20"/>
          <w:lang w:eastAsia="fr-FR"/>
        </w:rPr>
      </w:pPr>
      <w:r>
        <w:rPr>
          <w:rFonts w:ascii="Helvetica" w:hAnsi="Helvetica"/>
          <w:i/>
          <w:noProof/>
          <w:sz w:val="20"/>
          <w:lang w:eastAsia="fr-FR"/>
        </w:rPr>
        <w:drawing>
          <wp:inline distT="0" distB="0" distL="0" distR="0">
            <wp:extent cx="5760720" cy="158178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8-10-24_144530.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0" cy="1581785"/>
                    </a:xfrm>
                    <a:prstGeom prst="rect">
                      <a:avLst/>
                    </a:prstGeom>
                  </pic:spPr>
                </pic:pic>
              </a:graphicData>
            </a:graphic>
          </wp:inline>
        </w:drawing>
      </w:r>
    </w:p>
    <w:p w:rsidR="00B7042F" w:rsidRDefault="00B7042F" w:rsidP="00F670DA">
      <w:pPr>
        <w:jc w:val="both"/>
        <w:rPr>
          <w:rFonts w:ascii="Helvetica" w:hAnsi="Helvetica"/>
          <w:i/>
          <w:noProof/>
          <w:sz w:val="20"/>
          <w:lang w:eastAsia="fr-FR"/>
        </w:rPr>
      </w:pPr>
    </w:p>
    <w:p w:rsidR="00105490" w:rsidRDefault="00105490" w:rsidP="00B7042F">
      <w:pPr>
        <w:jc w:val="both"/>
        <w:rPr>
          <w:rFonts w:ascii="Helvetica" w:hAnsi="Helvetica"/>
          <w:i/>
          <w:noProof/>
          <w:sz w:val="20"/>
          <w:lang w:eastAsia="fr-FR"/>
        </w:rPr>
      </w:pPr>
    </w:p>
    <w:p w:rsidR="00105490" w:rsidRDefault="00105490" w:rsidP="00B7042F">
      <w:pPr>
        <w:jc w:val="both"/>
        <w:rPr>
          <w:rFonts w:ascii="Helvetica" w:hAnsi="Helvetica"/>
          <w:i/>
          <w:noProof/>
          <w:sz w:val="20"/>
          <w:lang w:eastAsia="fr-FR"/>
        </w:rPr>
      </w:pPr>
    </w:p>
    <w:p w:rsidR="00105490" w:rsidRDefault="00105490" w:rsidP="00B7042F">
      <w:pPr>
        <w:jc w:val="both"/>
        <w:rPr>
          <w:rFonts w:ascii="Helvetica" w:hAnsi="Helvetica"/>
          <w:i/>
          <w:noProof/>
          <w:sz w:val="20"/>
          <w:lang w:eastAsia="fr-FR"/>
        </w:rPr>
      </w:pPr>
    </w:p>
    <w:p w:rsidR="00105490" w:rsidRDefault="00105490" w:rsidP="00B7042F">
      <w:pPr>
        <w:jc w:val="both"/>
        <w:rPr>
          <w:rFonts w:ascii="Helvetica" w:hAnsi="Helvetica"/>
          <w:i/>
          <w:noProof/>
          <w:sz w:val="20"/>
          <w:lang w:eastAsia="fr-FR"/>
        </w:rPr>
      </w:pPr>
    </w:p>
    <w:p w:rsidR="00B7042F" w:rsidRDefault="00B7042F" w:rsidP="00B7042F">
      <w:pPr>
        <w:jc w:val="both"/>
        <w:rPr>
          <w:rFonts w:ascii="Helvetica" w:hAnsi="Helvetica"/>
          <w:i/>
          <w:noProof/>
          <w:sz w:val="20"/>
          <w:lang w:eastAsia="fr-FR"/>
        </w:rPr>
      </w:pPr>
      <w:r>
        <w:rPr>
          <w:rFonts w:ascii="Helvetica" w:hAnsi="Helvetica"/>
          <w:i/>
          <w:noProof/>
          <w:sz w:val="20"/>
          <w:lang w:eastAsia="fr-FR"/>
        </w:rPr>
        <w:lastRenderedPageBreak/>
        <w:t>Réception « circuit long »</w:t>
      </w:r>
    </w:p>
    <w:p w:rsidR="00B7042F" w:rsidRDefault="00B7042F" w:rsidP="00F670DA">
      <w:pPr>
        <w:jc w:val="both"/>
        <w:rPr>
          <w:rFonts w:ascii="Helvetica" w:hAnsi="Helvetica"/>
          <w:i/>
          <w:noProof/>
          <w:sz w:val="20"/>
          <w:lang w:eastAsia="fr-FR"/>
        </w:rPr>
      </w:pPr>
      <w:r>
        <w:rPr>
          <w:rFonts w:ascii="Helvetica" w:hAnsi="Helvetica"/>
          <w:i/>
          <w:noProof/>
          <w:sz w:val="20"/>
          <w:lang w:eastAsia="fr-FR"/>
        </w:rPr>
        <w:drawing>
          <wp:inline distT="0" distB="0" distL="0" distR="0">
            <wp:extent cx="5760720" cy="225615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18-10-24_144627.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0720" cy="2256155"/>
                    </a:xfrm>
                    <a:prstGeom prst="rect">
                      <a:avLst/>
                    </a:prstGeom>
                  </pic:spPr>
                </pic:pic>
              </a:graphicData>
            </a:graphic>
          </wp:inline>
        </w:drawing>
      </w:r>
    </w:p>
    <w:p w:rsidR="00B7042F" w:rsidRDefault="00B7042F" w:rsidP="00F670DA">
      <w:pPr>
        <w:jc w:val="both"/>
        <w:rPr>
          <w:rFonts w:ascii="Helvetica" w:hAnsi="Helvetica"/>
          <w:i/>
          <w:noProof/>
          <w:sz w:val="20"/>
          <w:lang w:eastAsia="fr-FR"/>
        </w:rPr>
      </w:pPr>
      <w:r>
        <w:rPr>
          <w:rFonts w:ascii="Helvetica" w:hAnsi="Helvetica"/>
          <w:i/>
          <w:noProof/>
          <w:sz w:val="20"/>
          <w:lang w:eastAsia="fr-FR"/>
        </w:rPr>
        <w:drawing>
          <wp:inline distT="0" distB="0" distL="0" distR="0">
            <wp:extent cx="5760720" cy="1630045"/>
            <wp:effectExtent l="0" t="0" r="0" b="825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18-10-24_144709.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60720" cy="1630045"/>
                    </a:xfrm>
                    <a:prstGeom prst="rect">
                      <a:avLst/>
                    </a:prstGeom>
                  </pic:spPr>
                </pic:pic>
              </a:graphicData>
            </a:graphic>
          </wp:inline>
        </w:drawing>
      </w:r>
    </w:p>
    <w:p w:rsidR="00B7042F" w:rsidRDefault="00105490" w:rsidP="00F670DA">
      <w:pPr>
        <w:jc w:val="both"/>
        <w:rPr>
          <w:rFonts w:ascii="Helvetica" w:hAnsi="Helvetica"/>
          <w:i/>
          <w:noProof/>
          <w:sz w:val="20"/>
          <w:lang w:eastAsia="fr-FR"/>
        </w:rPr>
      </w:pPr>
      <w:r>
        <w:rPr>
          <w:rFonts w:ascii="Helvetica" w:hAnsi="Helvetica"/>
          <w:i/>
          <w:noProof/>
          <w:sz w:val="20"/>
          <w:lang w:eastAsia="fr-FR"/>
        </w:rPr>
        <w:drawing>
          <wp:inline distT="0" distB="0" distL="0" distR="0">
            <wp:extent cx="5760720" cy="1978660"/>
            <wp:effectExtent l="0" t="0" r="0" b="254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018-10-24_14504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60720" cy="1978660"/>
                    </a:xfrm>
                    <a:prstGeom prst="rect">
                      <a:avLst/>
                    </a:prstGeom>
                  </pic:spPr>
                </pic:pic>
              </a:graphicData>
            </a:graphic>
          </wp:inline>
        </w:drawing>
      </w:r>
    </w:p>
    <w:p w:rsidR="00B7042F" w:rsidRPr="00B7042F" w:rsidRDefault="00105490" w:rsidP="00F670DA">
      <w:pPr>
        <w:jc w:val="both"/>
        <w:rPr>
          <w:rFonts w:ascii="Helvetica" w:hAnsi="Helvetica"/>
          <w:i/>
          <w:noProof/>
          <w:sz w:val="20"/>
          <w:lang w:eastAsia="fr-FR"/>
        </w:rPr>
      </w:pPr>
      <w:r>
        <w:rPr>
          <w:rFonts w:ascii="Helvetica" w:hAnsi="Helvetica"/>
          <w:i/>
          <w:noProof/>
          <w:sz w:val="20"/>
          <w:lang w:eastAsia="fr-FR"/>
        </w:rPr>
        <w:drawing>
          <wp:inline distT="0" distB="0" distL="0" distR="0">
            <wp:extent cx="5760720" cy="118237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018-10-24_145104.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60720" cy="1182370"/>
                    </a:xfrm>
                    <a:prstGeom prst="rect">
                      <a:avLst/>
                    </a:prstGeom>
                  </pic:spPr>
                </pic:pic>
              </a:graphicData>
            </a:graphic>
          </wp:inline>
        </w:drawing>
      </w:r>
    </w:p>
    <w:p w:rsidR="00B7042F" w:rsidRDefault="00B7042F" w:rsidP="00F670DA">
      <w:pPr>
        <w:jc w:val="both"/>
        <w:rPr>
          <w:rFonts w:ascii="Helvetica" w:hAnsi="Helvetica"/>
          <w:noProof/>
          <w:sz w:val="20"/>
          <w:lang w:eastAsia="fr-FR"/>
        </w:rPr>
      </w:pPr>
    </w:p>
    <w:p w:rsidR="00105490" w:rsidRDefault="00105490" w:rsidP="00B7042F">
      <w:pPr>
        <w:jc w:val="both"/>
        <w:rPr>
          <w:rFonts w:ascii="Helvetica" w:hAnsi="Helvetica"/>
          <w:sz w:val="20"/>
        </w:rPr>
      </w:pPr>
    </w:p>
    <w:p w:rsidR="00B7042F" w:rsidRDefault="00B7042F" w:rsidP="00B7042F">
      <w:pPr>
        <w:jc w:val="both"/>
        <w:rPr>
          <w:rFonts w:ascii="Helvetica" w:hAnsi="Helvetica"/>
          <w:sz w:val="20"/>
        </w:rPr>
      </w:pPr>
      <w:r>
        <w:rPr>
          <w:rFonts w:ascii="Helvetica" w:hAnsi="Helvetica"/>
          <w:sz w:val="20"/>
        </w:rPr>
        <w:t xml:space="preserve">Il est à noter que </w:t>
      </w:r>
      <w:r w:rsidR="00F2661B">
        <w:rPr>
          <w:rFonts w:ascii="Helvetica" w:hAnsi="Helvetica"/>
          <w:sz w:val="20"/>
        </w:rPr>
        <w:t xml:space="preserve">ce </w:t>
      </w:r>
      <w:r>
        <w:rPr>
          <w:rFonts w:ascii="Helvetica" w:hAnsi="Helvetica"/>
          <w:sz w:val="20"/>
        </w:rPr>
        <w:t xml:space="preserve">paramètre peut être </w:t>
      </w:r>
      <w:r w:rsidR="00F2661B">
        <w:rPr>
          <w:rFonts w:ascii="Helvetica" w:hAnsi="Helvetica"/>
          <w:sz w:val="20"/>
        </w:rPr>
        <w:t>également</w:t>
      </w:r>
      <w:r>
        <w:rPr>
          <w:rFonts w:ascii="Helvetica" w:hAnsi="Helvetica"/>
          <w:sz w:val="20"/>
        </w:rPr>
        <w:t xml:space="preserve"> appliqué pour les documents retournés par un lecteur dans une autre bibliothèque.  C’est d’ailleurs comme cela qu’il est présenté par Ex Libris dans la note de version d’Alma. </w:t>
      </w:r>
    </w:p>
    <w:p w:rsidR="00F670DA" w:rsidRPr="00117E9B" w:rsidRDefault="00F670DA" w:rsidP="00F670DA">
      <w:pPr>
        <w:jc w:val="both"/>
        <w:rPr>
          <w:rFonts w:ascii="Helvetica" w:hAnsi="Helvetica"/>
          <w:b/>
          <w:sz w:val="20"/>
          <w:u w:val="single"/>
        </w:rPr>
      </w:pPr>
      <w:r w:rsidRPr="00117E9B">
        <w:rPr>
          <w:rFonts w:ascii="Helvetica" w:hAnsi="Helvetica"/>
          <w:b/>
          <w:sz w:val="20"/>
          <w:u w:val="single"/>
        </w:rPr>
        <w:lastRenderedPageBreak/>
        <w:t>L’avis</w:t>
      </w:r>
      <w:r w:rsidRPr="00117E9B">
        <w:rPr>
          <w:rFonts w:ascii="Helvetica" w:hAnsi="Helvetica"/>
          <w:b/>
          <w:sz w:val="20"/>
        </w:rPr>
        <w:t xml:space="preserve"> </w:t>
      </w:r>
      <w:r w:rsidRPr="00117E9B">
        <w:rPr>
          <w:rFonts w:ascii="Helvetica" w:hAnsi="Helvetica"/>
          <w:b/>
          <w:sz w:val="20"/>
          <w:u w:val="single"/>
        </w:rPr>
        <w:t>du</w:t>
      </w:r>
      <w:r w:rsidRPr="00117E9B">
        <w:rPr>
          <w:rFonts w:ascii="Helvetica" w:hAnsi="Helvetica"/>
          <w:b/>
          <w:sz w:val="20"/>
        </w:rPr>
        <w:t xml:space="preserve"> </w:t>
      </w:r>
      <w:r w:rsidRPr="00117E9B">
        <w:rPr>
          <w:rFonts w:ascii="Helvetica" w:hAnsi="Helvetica"/>
          <w:b/>
          <w:sz w:val="20"/>
          <w:u w:val="single"/>
        </w:rPr>
        <w:t>SICD</w:t>
      </w:r>
    </w:p>
    <w:p w:rsidR="003D3BED" w:rsidRDefault="00F670DA" w:rsidP="00F670DA">
      <w:pPr>
        <w:jc w:val="both"/>
        <w:rPr>
          <w:rFonts w:ascii="Helvetica" w:hAnsi="Helvetica"/>
          <w:sz w:val="20"/>
        </w:rPr>
      </w:pPr>
      <w:r>
        <w:rPr>
          <w:rFonts w:ascii="Helvetica" w:hAnsi="Helvetica"/>
          <w:sz w:val="20"/>
        </w:rPr>
        <w:t xml:space="preserve">Ce nouveau paramètre ne présente pas de réel intérêt dans le cadre de la circulation. </w:t>
      </w:r>
    </w:p>
    <w:p w:rsidR="003D3BED" w:rsidRDefault="00F670DA" w:rsidP="00F670DA">
      <w:pPr>
        <w:jc w:val="both"/>
        <w:rPr>
          <w:rFonts w:ascii="Helvetica" w:hAnsi="Helvetica"/>
          <w:sz w:val="20"/>
        </w:rPr>
      </w:pPr>
      <w:r>
        <w:rPr>
          <w:rFonts w:ascii="Helvetica" w:hAnsi="Helvetica"/>
          <w:sz w:val="20"/>
        </w:rPr>
        <w:t>E</w:t>
      </w:r>
      <w:r w:rsidR="003D3BED">
        <w:rPr>
          <w:rFonts w:ascii="Helvetica" w:hAnsi="Helvetica"/>
          <w:sz w:val="20"/>
        </w:rPr>
        <w:t xml:space="preserve">n revanche, sa mise en œuvre </w:t>
      </w:r>
      <w:r w:rsidR="00B7042F">
        <w:rPr>
          <w:rFonts w:ascii="Helvetica" w:hAnsi="Helvetica"/>
          <w:sz w:val="20"/>
        </w:rPr>
        <w:t xml:space="preserve">dans le contexte des acquisitions </w:t>
      </w:r>
      <w:r w:rsidR="003D3BED">
        <w:rPr>
          <w:rFonts w:ascii="Helvetica" w:hAnsi="Helvetica"/>
          <w:sz w:val="20"/>
        </w:rPr>
        <w:t xml:space="preserve">est susceptible de simplifier très fortement le circuit de réception des monographies et, au-delà, tous les circuits de traitement interne, dans la mesure où tout document sortant d’un département interne pourra ainsi être mis automatiquement « en rayon » une fois le travail « effectué ». </w:t>
      </w:r>
    </w:p>
    <w:p w:rsidR="003D3BED" w:rsidRDefault="003D3BED" w:rsidP="00F670DA">
      <w:pPr>
        <w:jc w:val="both"/>
        <w:rPr>
          <w:rFonts w:ascii="Helvetica" w:hAnsi="Helvetica"/>
          <w:sz w:val="20"/>
        </w:rPr>
      </w:pPr>
      <w:r>
        <w:rPr>
          <w:rFonts w:ascii="Helvetica" w:hAnsi="Helvetica"/>
          <w:sz w:val="20"/>
        </w:rPr>
        <w:t xml:space="preserve">Ce paramétrage pouvant </w:t>
      </w:r>
      <w:r w:rsidR="00B7042F">
        <w:rPr>
          <w:rFonts w:ascii="Helvetica" w:hAnsi="Helvetica"/>
          <w:sz w:val="20"/>
        </w:rPr>
        <w:t>être fait</w:t>
      </w:r>
      <w:r>
        <w:rPr>
          <w:rFonts w:ascii="Helvetica" w:hAnsi="Helvetica"/>
          <w:sz w:val="20"/>
        </w:rPr>
        <w:t xml:space="preserve"> bibliothèque par bibliothèque (et sans doute est-ce là la meilleure solution), il n’est pas nécessaire qu’une décision soit prise collégialement. Cela peut </w:t>
      </w:r>
      <w:r w:rsidR="00B7042F">
        <w:rPr>
          <w:rFonts w:ascii="Helvetica" w:hAnsi="Helvetica"/>
          <w:sz w:val="20"/>
        </w:rPr>
        <w:t>donc être fait au cas par cas et au fil de l’eau,</w:t>
      </w:r>
      <w:r>
        <w:rPr>
          <w:rFonts w:ascii="Helvetica" w:hAnsi="Helvetica"/>
          <w:sz w:val="20"/>
        </w:rPr>
        <w:t xml:space="preserve"> </w:t>
      </w:r>
      <w:r w:rsidR="00B7042F">
        <w:rPr>
          <w:rFonts w:ascii="Helvetica" w:hAnsi="Helvetica"/>
          <w:sz w:val="20"/>
        </w:rPr>
        <w:t>au fur et à mesure</w:t>
      </w:r>
      <w:r>
        <w:rPr>
          <w:rFonts w:ascii="Helvetica" w:hAnsi="Helvetica"/>
          <w:sz w:val="20"/>
        </w:rPr>
        <w:t xml:space="preserve"> des demandes. </w:t>
      </w:r>
    </w:p>
    <w:p w:rsidR="003D3BED" w:rsidRDefault="003D3BED" w:rsidP="00F670DA">
      <w:pPr>
        <w:jc w:val="both"/>
        <w:rPr>
          <w:rFonts w:ascii="Helvetica" w:hAnsi="Helvetica"/>
          <w:sz w:val="20"/>
        </w:rPr>
      </w:pPr>
      <w:r>
        <w:rPr>
          <w:rFonts w:ascii="Helvetica" w:hAnsi="Helvetica"/>
          <w:sz w:val="20"/>
        </w:rPr>
        <w:t xml:space="preserve">La mise en œuvre de ce paramétrage présente toutefois deux écueils, dont il faut tenir compte : </w:t>
      </w:r>
    </w:p>
    <w:p w:rsidR="003D3BED" w:rsidRDefault="003D3BED" w:rsidP="003D3BED">
      <w:pPr>
        <w:pStyle w:val="Paragraphedeliste"/>
        <w:numPr>
          <w:ilvl w:val="0"/>
          <w:numId w:val="29"/>
        </w:numPr>
        <w:jc w:val="both"/>
        <w:rPr>
          <w:rFonts w:ascii="Helvetica" w:hAnsi="Helvetica"/>
          <w:sz w:val="20"/>
        </w:rPr>
      </w:pPr>
      <w:r>
        <w:rPr>
          <w:rFonts w:ascii="Helvetica" w:hAnsi="Helvetica"/>
          <w:sz w:val="20"/>
        </w:rPr>
        <w:t>Il impose d’utiliser le « circuit long » de réception et traitement, faute de quoi l’exemplaire sera déjà marqué comme « en rayon » dans le catalogue</w:t>
      </w:r>
      <w:r w:rsidR="00F2661B">
        <w:rPr>
          <w:rFonts w:ascii="Helvetica" w:hAnsi="Helvetica"/>
          <w:sz w:val="20"/>
        </w:rPr>
        <w:t xml:space="preserve"> public</w:t>
      </w:r>
      <w:r>
        <w:rPr>
          <w:rFonts w:ascii="Helvetica" w:hAnsi="Helvetica"/>
          <w:sz w:val="20"/>
        </w:rPr>
        <w:t>, alors que dans les faits il sera toujours en cours de traitement</w:t>
      </w:r>
      <w:r w:rsidR="00F2661B">
        <w:rPr>
          <w:rFonts w:ascii="Helvetica" w:hAnsi="Helvetica"/>
          <w:sz w:val="20"/>
        </w:rPr>
        <w:t xml:space="preserve"> dans les services internes</w:t>
      </w:r>
    </w:p>
    <w:p w:rsidR="003D3BED" w:rsidRDefault="003D3BED" w:rsidP="003D3BED">
      <w:pPr>
        <w:pStyle w:val="Paragraphedeliste"/>
        <w:numPr>
          <w:ilvl w:val="0"/>
          <w:numId w:val="29"/>
        </w:numPr>
        <w:jc w:val="both"/>
        <w:rPr>
          <w:rFonts w:ascii="Helvetica" w:hAnsi="Helvetica"/>
          <w:sz w:val="20"/>
        </w:rPr>
      </w:pPr>
      <w:r>
        <w:rPr>
          <w:rFonts w:ascii="Helvetica" w:hAnsi="Helvetica"/>
          <w:sz w:val="20"/>
        </w:rPr>
        <w:t>Il réduira la liste des nouvelles acquisitions à la liste des derniers exemplaires reçus, lesquels ne seront pas forcément encore disponibles en salle de lecture au moment de la diffusion</w:t>
      </w:r>
      <w:r w:rsidR="00F2661B">
        <w:rPr>
          <w:rFonts w:ascii="Helvetica" w:hAnsi="Helvetica"/>
          <w:sz w:val="20"/>
        </w:rPr>
        <w:t xml:space="preserve"> de cette liste</w:t>
      </w:r>
      <w:r>
        <w:rPr>
          <w:rFonts w:ascii="Helvetica" w:hAnsi="Helvetica"/>
          <w:sz w:val="20"/>
        </w:rPr>
        <w:t xml:space="preserve"> aux lecteurs</w:t>
      </w:r>
    </w:p>
    <w:p w:rsidR="00F670DA" w:rsidRDefault="00B7042F" w:rsidP="0082353A">
      <w:pPr>
        <w:jc w:val="both"/>
        <w:rPr>
          <w:rFonts w:ascii="Helvetica" w:hAnsi="Helvetica"/>
          <w:sz w:val="20"/>
        </w:rPr>
      </w:pPr>
      <w:r>
        <w:rPr>
          <w:rFonts w:ascii="Helvetica" w:hAnsi="Helvetica"/>
          <w:sz w:val="20"/>
        </w:rPr>
        <w:t xml:space="preserve">Précision importante, la mise en œuvre de ce paramètre dans le contexte des acquisitions n’a pas d’impact sur le prêt. Un exemplaire rendu dans une autre bibliothèque restera placé en transit, quand bien même ces deux bibliothèques n’utiliseraient plus ce processus pour leurs opérations internes. </w:t>
      </w:r>
      <w:r w:rsidR="00F670DA" w:rsidRPr="0082353A">
        <w:rPr>
          <w:rFonts w:ascii="Helvetica" w:hAnsi="Helvetica"/>
          <w:sz w:val="20"/>
        </w:rPr>
        <w:t xml:space="preserve"> </w:t>
      </w:r>
    </w:p>
    <w:p w:rsidR="00F2661B" w:rsidRDefault="00F2661B" w:rsidP="0082353A">
      <w:pPr>
        <w:jc w:val="both"/>
        <w:rPr>
          <w:rFonts w:ascii="Helvetica" w:hAnsi="Helvetica"/>
          <w:sz w:val="20"/>
        </w:rPr>
      </w:pPr>
      <w:r w:rsidRPr="00F2661B">
        <w:rPr>
          <w:rFonts w:ascii="Helvetica" w:hAnsi="Helvetica"/>
          <w:sz w:val="20"/>
          <w:highlight w:val="yellow"/>
        </w:rPr>
        <w:t>Décision à prendre par chaque bibliothèque. Les demandes de paramétrage seront traitées par le SICD au fil de l’eau.</w:t>
      </w:r>
      <w:r>
        <w:rPr>
          <w:rFonts w:ascii="Helvetica" w:hAnsi="Helvetica"/>
          <w:sz w:val="20"/>
        </w:rPr>
        <w:t xml:space="preserve"> </w:t>
      </w:r>
    </w:p>
    <w:p w:rsidR="00FF5E46" w:rsidRDefault="00FF5E46" w:rsidP="0082353A">
      <w:pPr>
        <w:jc w:val="both"/>
        <w:rPr>
          <w:rFonts w:ascii="Helvetica" w:hAnsi="Helvetica"/>
          <w:sz w:val="20"/>
        </w:rPr>
      </w:pPr>
    </w:p>
    <w:p w:rsidR="006B3C74" w:rsidRDefault="006B3C74" w:rsidP="006B3C74">
      <w:pPr>
        <w:pStyle w:val="Titre2"/>
        <w:jc w:val="both"/>
        <w:rPr>
          <w:rFonts w:asciiTheme="minorHAnsi" w:hAnsiTheme="minorHAnsi"/>
          <w:color w:val="auto"/>
          <w:sz w:val="32"/>
        </w:rPr>
      </w:pPr>
      <w:r>
        <w:rPr>
          <w:rFonts w:asciiTheme="minorHAnsi" w:hAnsiTheme="minorHAnsi"/>
          <w:color w:val="auto"/>
          <w:sz w:val="32"/>
        </w:rPr>
        <w:t>Affichage des listes de résultat</w:t>
      </w:r>
    </w:p>
    <w:p w:rsidR="006B3C74" w:rsidRDefault="006B3C74" w:rsidP="006B3C74">
      <w:pPr>
        <w:jc w:val="both"/>
        <w:rPr>
          <w:rFonts w:ascii="Helvetica" w:hAnsi="Helvetica"/>
          <w:sz w:val="20"/>
        </w:rPr>
      </w:pPr>
      <w:r>
        <w:rPr>
          <w:rFonts w:ascii="Helvetica" w:hAnsi="Helvetica"/>
          <w:sz w:val="20"/>
        </w:rPr>
        <w:t xml:space="preserve">Il est possible, désormais, d’augmenter le nombre de résultats affichés sur une page et ceci pour tout type de page de résultats. Suivant les cas, la limite peut être portée à 100 ou à 200. </w:t>
      </w:r>
    </w:p>
    <w:p w:rsidR="006B3C74" w:rsidRDefault="006B3C74" w:rsidP="006B3C74">
      <w:pPr>
        <w:jc w:val="both"/>
        <w:rPr>
          <w:rFonts w:ascii="Helvetica" w:hAnsi="Helvetica"/>
          <w:sz w:val="20"/>
        </w:rPr>
      </w:pPr>
      <w:r>
        <w:rPr>
          <w:rFonts w:ascii="Helvetica" w:hAnsi="Helvetica"/>
          <w:noProof/>
          <w:sz w:val="20"/>
          <w:lang w:eastAsia="fr-FR"/>
        </w:rPr>
        <w:drawing>
          <wp:inline distT="0" distB="0" distL="0" distR="0">
            <wp:extent cx="5760720" cy="167894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8-10-26_101145.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60720" cy="1678940"/>
                    </a:xfrm>
                    <a:prstGeom prst="rect">
                      <a:avLst/>
                    </a:prstGeom>
                  </pic:spPr>
                </pic:pic>
              </a:graphicData>
            </a:graphic>
          </wp:inline>
        </w:drawing>
      </w:r>
    </w:p>
    <w:p w:rsidR="006B3C74" w:rsidRDefault="006B3C74" w:rsidP="006B3C74">
      <w:pPr>
        <w:jc w:val="both"/>
        <w:rPr>
          <w:rFonts w:ascii="Helvetica" w:hAnsi="Helvetica"/>
          <w:sz w:val="20"/>
        </w:rPr>
      </w:pPr>
      <w:r>
        <w:rPr>
          <w:rFonts w:ascii="Helvetica" w:hAnsi="Helvetica"/>
          <w:sz w:val="20"/>
        </w:rPr>
        <w:t xml:space="preserve">Ex Libris met en garde, toutefois, que le temps de chargement d’une page peut varier en fonction du nombre de résultats que l’on souhaite afficher. </w:t>
      </w:r>
    </w:p>
    <w:p w:rsidR="006B3C74" w:rsidRDefault="006B3C74" w:rsidP="006B3C74">
      <w:pPr>
        <w:jc w:val="both"/>
        <w:rPr>
          <w:rFonts w:ascii="Helvetica" w:hAnsi="Helvetica"/>
          <w:sz w:val="20"/>
        </w:rPr>
      </w:pPr>
      <w:r w:rsidRPr="00117E9B">
        <w:rPr>
          <w:rFonts w:ascii="Helvetica" w:hAnsi="Helvetica"/>
          <w:b/>
          <w:sz w:val="20"/>
          <w:u w:val="single"/>
        </w:rPr>
        <w:t>L’avis</w:t>
      </w:r>
      <w:r w:rsidRPr="00117E9B">
        <w:rPr>
          <w:rFonts w:ascii="Helvetica" w:hAnsi="Helvetica"/>
          <w:b/>
          <w:sz w:val="20"/>
        </w:rPr>
        <w:t xml:space="preserve"> </w:t>
      </w:r>
      <w:r w:rsidRPr="00117E9B">
        <w:rPr>
          <w:rFonts w:ascii="Helvetica" w:hAnsi="Helvetica"/>
          <w:b/>
          <w:sz w:val="20"/>
          <w:u w:val="single"/>
        </w:rPr>
        <w:t>du</w:t>
      </w:r>
      <w:r w:rsidRPr="00117E9B">
        <w:rPr>
          <w:rFonts w:ascii="Helvetica" w:hAnsi="Helvetica"/>
          <w:b/>
          <w:sz w:val="20"/>
        </w:rPr>
        <w:t xml:space="preserve"> </w:t>
      </w:r>
      <w:r w:rsidRPr="00117E9B">
        <w:rPr>
          <w:rFonts w:ascii="Helvetica" w:hAnsi="Helvetica"/>
          <w:b/>
          <w:sz w:val="20"/>
          <w:u w:val="single"/>
        </w:rPr>
        <w:t>SICD</w:t>
      </w:r>
    </w:p>
    <w:p w:rsidR="006B3C74" w:rsidRDefault="006B3C74" w:rsidP="006B3C74">
      <w:pPr>
        <w:jc w:val="both"/>
        <w:rPr>
          <w:rFonts w:ascii="Helvetica" w:hAnsi="Helvetica"/>
          <w:sz w:val="20"/>
        </w:rPr>
      </w:pPr>
      <w:r>
        <w:rPr>
          <w:rFonts w:ascii="Helvetica" w:hAnsi="Helvetica"/>
          <w:sz w:val="20"/>
        </w:rPr>
        <w:t xml:space="preserve">Cette nouveauté intéressera tout particulièrement les acquéreurs. Jusqu’à présent la liste des lignes de commande à paqueter était limitée à 20 par page, ce qui impliquait que des lignes regroupables dans un même bon étaient souvent réparties sur plusieurs pages et ne pouvaient donc pas être sélectionnées en une fois. </w:t>
      </w:r>
    </w:p>
    <w:p w:rsidR="006B3C74" w:rsidRDefault="006B3C74" w:rsidP="006B3C74">
      <w:pPr>
        <w:jc w:val="both"/>
        <w:rPr>
          <w:rFonts w:ascii="Helvetica" w:hAnsi="Helvetica"/>
          <w:sz w:val="20"/>
        </w:rPr>
      </w:pPr>
      <w:r>
        <w:rPr>
          <w:rFonts w:ascii="Helvetica" w:hAnsi="Helvetica"/>
          <w:sz w:val="20"/>
        </w:rPr>
        <w:t xml:space="preserve">Cette liste pourra être portée à 100, désormais. </w:t>
      </w:r>
    </w:p>
    <w:p w:rsidR="006B3C74" w:rsidRDefault="006B3C74" w:rsidP="0082353A">
      <w:pPr>
        <w:jc w:val="both"/>
        <w:rPr>
          <w:rFonts w:ascii="Helvetica" w:hAnsi="Helvetica"/>
          <w:sz w:val="20"/>
        </w:rPr>
      </w:pPr>
      <w:r>
        <w:rPr>
          <w:rFonts w:ascii="Helvetica" w:hAnsi="Helvetica"/>
          <w:noProof/>
          <w:sz w:val="20"/>
          <w:lang w:eastAsia="fr-FR"/>
        </w:rPr>
        <w:lastRenderedPageBreak/>
        <w:drawing>
          <wp:inline distT="0" distB="0" distL="0" distR="0">
            <wp:extent cx="5760720" cy="2526665"/>
            <wp:effectExtent l="0" t="0" r="0" b="698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8-10-26_101002.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60720" cy="2526665"/>
                    </a:xfrm>
                    <a:prstGeom prst="rect">
                      <a:avLst/>
                    </a:prstGeom>
                  </pic:spPr>
                </pic:pic>
              </a:graphicData>
            </a:graphic>
          </wp:inline>
        </w:drawing>
      </w:r>
    </w:p>
    <w:p w:rsidR="00FF5E46" w:rsidRDefault="00FF5E46" w:rsidP="0082353A">
      <w:pPr>
        <w:jc w:val="both"/>
        <w:rPr>
          <w:rFonts w:ascii="Helvetica" w:hAnsi="Helvetica"/>
          <w:sz w:val="20"/>
        </w:rPr>
      </w:pPr>
    </w:p>
    <w:p w:rsidR="006B3C74" w:rsidRDefault="006B3C74" w:rsidP="0082353A">
      <w:pPr>
        <w:jc w:val="both"/>
        <w:rPr>
          <w:rFonts w:ascii="Helvetica" w:hAnsi="Helvetica"/>
          <w:sz w:val="20"/>
        </w:rPr>
      </w:pPr>
    </w:p>
    <w:p w:rsidR="006B3C74" w:rsidRDefault="006B3C74" w:rsidP="0082353A">
      <w:pPr>
        <w:jc w:val="both"/>
        <w:rPr>
          <w:rFonts w:ascii="Helvetica" w:hAnsi="Helvetica"/>
          <w:sz w:val="20"/>
        </w:rPr>
      </w:pPr>
    </w:p>
    <w:p w:rsidR="00FF5E46" w:rsidRDefault="00FF5E46" w:rsidP="00FF5E46">
      <w:pPr>
        <w:pStyle w:val="Titre1"/>
        <w:jc w:val="both"/>
        <w:rPr>
          <w:rFonts w:asciiTheme="minorHAnsi" w:hAnsiTheme="minorHAnsi"/>
          <w:color w:val="auto"/>
          <w:sz w:val="40"/>
          <w:szCs w:val="40"/>
        </w:rPr>
      </w:pPr>
      <w:r>
        <w:rPr>
          <w:rFonts w:asciiTheme="minorHAnsi" w:hAnsiTheme="minorHAnsi"/>
          <w:color w:val="auto"/>
          <w:sz w:val="40"/>
          <w:szCs w:val="40"/>
        </w:rPr>
        <w:t>Acquisitions</w:t>
      </w:r>
    </w:p>
    <w:p w:rsidR="00FF5E46" w:rsidRDefault="00FF5E46" w:rsidP="00FF5E46">
      <w:pPr>
        <w:jc w:val="both"/>
      </w:pPr>
    </w:p>
    <w:p w:rsidR="00FF5E46" w:rsidRDefault="00E53580" w:rsidP="004679EA">
      <w:pPr>
        <w:jc w:val="both"/>
        <w:rPr>
          <w:rFonts w:ascii="Helvetica" w:hAnsi="Helvetica"/>
          <w:sz w:val="20"/>
        </w:rPr>
      </w:pPr>
      <w:r>
        <w:rPr>
          <w:rFonts w:ascii="Helvetica" w:hAnsi="Helvetica"/>
          <w:sz w:val="20"/>
        </w:rPr>
        <w:t>Les deux fonctionnalités décrites ci-dessus dans la partie Administration concernent également les acquisitions.</w:t>
      </w:r>
      <w:bookmarkStart w:id="2" w:name="_GoBack"/>
      <w:bookmarkEnd w:id="2"/>
    </w:p>
    <w:p w:rsidR="00117E9B" w:rsidRDefault="00117E9B" w:rsidP="004679EA">
      <w:pPr>
        <w:jc w:val="both"/>
        <w:rPr>
          <w:rFonts w:ascii="Helvetica" w:hAnsi="Helvetica"/>
          <w:sz w:val="20"/>
        </w:rPr>
      </w:pPr>
    </w:p>
    <w:p w:rsidR="00FF5E46" w:rsidRDefault="00FF5E46" w:rsidP="00FF5E46">
      <w:pPr>
        <w:pStyle w:val="Titre1"/>
        <w:jc w:val="both"/>
        <w:rPr>
          <w:rFonts w:asciiTheme="minorHAnsi" w:hAnsiTheme="minorHAnsi"/>
          <w:color w:val="auto"/>
          <w:sz w:val="40"/>
          <w:szCs w:val="40"/>
        </w:rPr>
      </w:pPr>
      <w:r>
        <w:rPr>
          <w:rFonts w:asciiTheme="minorHAnsi" w:hAnsiTheme="minorHAnsi"/>
          <w:color w:val="auto"/>
          <w:sz w:val="40"/>
          <w:szCs w:val="40"/>
        </w:rPr>
        <w:t>Gestion des données</w:t>
      </w:r>
    </w:p>
    <w:p w:rsidR="00FF5E46" w:rsidRDefault="00FF5E46" w:rsidP="00FF5E46">
      <w:pPr>
        <w:jc w:val="both"/>
      </w:pPr>
    </w:p>
    <w:p w:rsidR="00117E9B" w:rsidRDefault="0082353A" w:rsidP="004679EA">
      <w:pPr>
        <w:pStyle w:val="Titre2"/>
        <w:jc w:val="both"/>
        <w:rPr>
          <w:rFonts w:asciiTheme="minorHAnsi" w:hAnsiTheme="minorHAnsi"/>
          <w:color w:val="auto"/>
          <w:sz w:val="32"/>
        </w:rPr>
      </w:pPr>
      <w:r>
        <w:rPr>
          <w:rFonts w:asciiTheme="minorHAnsi" w:hAnsiTheme="minorHAnsi"/>
          <w:color w:val="auto"/>
          <w:sz w:val="32"/>
        </w:rPr>
        <w:t xml:space="preserve">Enrichissement des informations d’exemplaire affichées </w:t>
      </w:r>
    </w:p>
    <w:p w:rsidR="004E50F5" w:rsidRDefault="0082353A" w:rsidP="004679EA">
      <w:pPr>
        <w:jc w:val="both"/>
        <w:rPr>
          <w:rFonts w:ascii="Helvetica" w:hAnsi="Helvetica"/>
          <w:sz w:val="20"/>
        </w:rPr>
      </w:pPr>
      <w:r w:rsidRPr="0082353A">
        <w:rPr>
          <w:rFonts w:ascii="Helvetica" w:hAnsi="Helvetica"/>
          <w:sz w:val="20"/>
        </w:rPr>
        <w:t xml:space="preserve">Plus de champs peuvent </w:t>
      </w:r>
      <w:r>
        <w:rPr>
          <w:rFonts w:ascii="Helvetica" w:hAnsi="Helvetica"/>
          <w:sz w:val="20"/>
        </w:rPr>
        <w:t xml:space="preserve">être affichés, désormais, sur </w:t>
      </w:r>
      <w:r w:rsidR="00AF1418">
        <w:rPr>
          <w:rFonts w:ascii="Helvetica" w:hAnsi="Helvetica"/>
          <w:sz w:val="20"/>
        </w:rPr>
        <w:t xml:space="preserve">les listes d’exemplaires associés à une notice bibliographique ou </w:t>
      </w:r>
      <w:r w:rsidR="00F2661B">
        <w:rPr>
          <w:rFonts w:ascii="Helvetica" w:hAnsi="Helvetica"/>
          <w:sz w:val="20"/>
        </w:rPr>
        <w:t xml:space="preserve">à </w:t>
      </w:r>
      <w:r w:rsidR="00AF1418">
        <w:rPr>
          <w:rFonts w:ascii="Helvetica" w:hAnsi="Helvetica"/>
          <w:sz w:val="20"/>
        </w:rPr>
        <w:t xml:space="preserve">une notice de holding, et notamment l’exception de circulation. </w:t>
      </w:r>
    </w:p>
    <w:p w:rsidR="00AF1418" w:rsidRDefault="00AF1418" w:rsidP="004679EA">
      <w:pPr>
        <w:jc w:val="both"/>
        <w:rPr>
          <w:rFonts w:ascii="Helvetica" w:hAnsi="Helvetica"/>
          <w:sz w:val="20"/>
        </w:rPr>
      </w:pPr>
      <w:r>
        <w:rPr>
          <w:rFonts w:ascii="Helvetica" w:hAnsi="Helvetica"/>
          <w:noProof/>
          <w:sz w:val="20"/>
          <w:lang w:eastAsia="fr-FR"/>
        </w:rPr>
        <w:lastRenderedPageBreak/>
        <w:drawing>
          <wp:inline distT="0" distB="0" distL="0" distR="0">
            <wp:extent cx="5760720" cy="2817495"/>
            <wp:effectExtent l="0" t="0" r="0" b="190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18-10-24_150304.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60720" cy="2817495"/>
                    </a:xfrm>
                    <a:prstGeom prst="rect">
                      <a:avLst/>
                    </a:prstGeom>
                  </pic:spPr>
                </pic:pic>
              </a:graphicData>
            </a:graphic>
          </wp:inline>
        </w:drawing>
      </w:r>
    </w:p>
    <w:p w:rsidR="00FF5E46" w:rsidRPr="00894A43" w:rsidRDefault="00FF5E46" w:rsidP="004679EA">
      <w:pPr>
        <w:jc w:val="both"/>
        <w:rPr>
          <w:rFonts w:ascii="Helvetica" w:hAnsi="Helvetica"/>
          <w:sz w:val="20"/>
        </w:rPr>
      </w:pPr>
      <w:r>
        <w:rPr>
          <w:rFonts w:ascii="Helvetica" w:hAnsi="Helvetica"/>
          <w:sz w:val="20"/>
        </w:rPr>
        <w:t xml:space="preserve">Attention, </w:t>
      </w:r>
      <w:r w:rsidRPr="00FF5E46">
        <w:rPr>
          <w:rFonts w:ascii="Helvetica" w:hAnsi="Helvetica"/>
          <w:sz w:val="20"/>
        </w:rPr>
        <w:t>s'il y a déjà beaucoup de colonnes affichées, la nouvelle colonne risque de ne pas être visible. Dans ce cas</w:t>
      </w:r>
      <w:r>
        <w:rPr>
          <w:rFonts w:ascii="Helvetica" w:hAnsi="Helvetica"/>
          <w:sz w:val="20"/>
        </w:rPr>
        <w:t>, il convient de</w:t>
      </w:r>
      <w:r w:rsidRPr="00FF5E46">
        <w:rPr>
          <w:rFonts w:ascii="Helvetica" w:hAnsi="Helvetica"/>
          <w:sz w:val="20"/>
        </w:rPr>
        <w:t xml:space="preserve"> réduire la largeur des colonnes déjà affichées et</w:t>
      </w:r>
      <w:r>
        <w:rPr>
          <w:rFonts w:ascii="Helvetica" w:hAnsi="Helvetica"/>
          <w:sz w:val="20"/>
        </w:rPr>
        <w:t>,</w:t>
      </w:r>
      <w:r w:rsidRPr="00FF5E46">
        <w:rPr>
          <w:rFonts w:ascii="Helvetica" w:hAnsi="Helvetica"/>
          <w:sz w:val="20"/>
        </w:rPr>
        <w:t xml:space="preserve"> éventuellement</w:t>
      </w:r>
      <w:r>
        <w:rPr>
          <w:rFonts w:ascii="Helvetica" w:hAnsi="Helvetica"/>
          <w:sz w:val="20"/>
        </w:rPr>
        <w:t>,</w:t>
      </w:r>
      <w:r w:rsidRPr="00FF5E46">
        <w:rPr>
          <w:rFonts w:ascii="Helvetica" w:hAnsi="Helvetica"/>
          <w:sz w:val="20"/>
        </w:rPr>
        <w:t xml:space="preserve"> </w:t>
      </w:r>
      <w:r>
        <w:rPr>
          <w:rFonts w:ascii="Helvetica" w:hAnsi="Helvetica"/>
          <w:sz w:val="20"/>
        </w:rPr>
        <w:t>d’en supprimer. On</w:t>
      </w:r>
      <w:r w:rsidRPr="00FF5E46">
        <w:rPr>
          <w:rFonts w:ascii="Helvetica" w:hAnsi="Helvetica"/>
          <w:sz w:val="20"/>
        </w:rPr>
        <w:t xml:space="preserve"> pourra </w:t>
      </w:r>
      <w:r>
        <w:rPr>
          <w:rFonts w:ascii="Helvetica" w:hAnsi="Helvetica"/>
          <w:sz w:val="20"/>
        </w:rPr>
        <w:t xml:space="preserve">toujours </w:t>
      </w:r>
      <w:r w:rsidRPr="00FF5E46">
        <w:rPr>
          <w:rFonts w:ascii="Helvetica" w:hAnsi="Helvetica"/>
          <w:sz w:val="20"/>
        </w:rPr>
        <w:t>retrouver le contenu de ces colonnes en cliquant sur "Consulter caché"</w:t>
      </w:r>
      <w:r>
        <w:rPr>
          <w:rFonts w:ascii="Helvetica" w:hAnsi="Helvetica"/>
          <w:sz w:val="20"/>
        </w:rPr>
        <w:t>.</w:t>
      </w:r>
    </w:p>
    <w:p w:rsidR="004E50F5" w:rsidRDefault="004E50F5" w:rsidP="004679EA">
      <w:pPr>
        <w:jc w:val="both"/>
        <w:rPr>
          <w:rFonts w:ascii="Helvetica" w:hAnsi="Helvetica"/>
          <w:sz w:val="20"/>
        </w:rPr>
      </w:pPr>
    </w:p>
    <w:p w:rsidR="004E50F5" w:rsidRDefault="004E50F5" w:rsidP="004679EA">
      <w:pPr>
        <w:jc w:val="both"/>
        <w:rPr>
          <w:rFonts w:ascii="Helvetica" w:hAnsi="Helvetica"/>
          <w:sz w:val="20"/>
        </w:rPr>
      </w:pPr>
    </w:p>
    <w:p w:rsidR="004E50F5" w:rsidRDefault="00FF5E46" w:rsidP="004679EA">
      <w:pPr>
        <w:pStyle w:val="Titre1"/>
        <w:jc w:val="both"/>
        <w:rPr>
          <w:rFonts w:asciiTheme="minorHAnsi" w:hAnsiTheme="minorHAnsi"/>
          <w:color w:val="auto"/>
          <w:sz w:val="40"/>
          <w:szCs w:val="40"/>
        </w:rPr>
      </w:pPr>
      <w:r>
        <w:rPr>
          <w:rFonts w:asciiTheme="minorHAnsi" w:hAnsiTheme="minorHAnsi"/>
          <w:color w:val="auto"/>
          <w:sz w:val="40"/>
          <w:szCs w:val="40"/>
        </w:rPr>
        <w:t>Gestion des ressources électroniques</w:t>
      </w:r>
    </w:p>
    <w:p w:rsidR="004E50F5" w:rsidRDefault="004E50F5" w:rsidP="004679EA">
      <w:pPr>
        <w:jc w:val="both"/>
      </w:pPr>
    </w:p>
    <w:p w:rsidR="004E50F5" w:rsidRDefault="00B43534" w:rsidP="004679EA">
      <w:pPr>
        <w:pStyle w:val="Titre2"/>
        <w:jc w:val="both"/>
        <w:rPr>
          <w:rFonts w:asciiTheme="minorHAnsi" w:hAnsiTheme="minorHAnsi"/>
          <w:color w:val="auto"/>
          <w:sz w:val="32"/>
        </w:rPr>
      </w:pPr>
      <w:r>
        <w:rPr>
          <w:rFonts w:asciiTheme="minorHAnsi" w:hAnsiTheme="minorHAnsi"/>
          <w:color w:val="auto"/>
          <w:sz w:val="32"/>
        </w:rPr>
        <w:t>Recherche avancée</w:t>
      </w:r>
      <w:r w:rsidR="005E08E8">
        <w:rPr>
          <w:rFonts w:asciiTheme="minorHAnsi" w:hAnsiTheme="minorHAnsi"/>
          <w:color w:val="auto"/>
          <w:sz w:val="32"/>
        </w:rPr>
        <w:t xml:space="preserve"> sur les ressources libres (niveau collection)</w:t>
      </w:r>
    </w:p>
    <w:p w:rsidR="00FF5E46" w:rsidRPr="00B43534" w:rsidRDefault="00B43534" w:rsidP="00B43534">
      <w:pPr>
        <w:jc w:val="both"/>
        <w:rPr>
          <w:rFonts w:ascii="Helvetica" w:hAnsi="Helvetica"/>
          <w:sz w:val="20"/>
        </w:rPr>
      </w:pPr>
      <w:r w:rsidRPr="00B43534">
        <w:rPr>
          <w:rFonts w:ascii="Helvetica" w:hAnsi="Helvetica"/>
          <w:sz w:val="20"/>
        </w:rPr>
        <w:t xml:space="preserve">En plus de pouvoir chercher les collections gratuites au niveau du service de la collection </w:t>
      </w:r>
      <w:r>
        <w:rPr>
          <w:rFonts w:ascii="Helvetica" w:hAnsi="Helvetica"/>
          <w:sz w:val="20"/>
        </w:rPr>
        <w:t xml:space="preserve">(index « Gratuit »), Alma permet désormais de les </w:t>
      </w:r>
      <w:r w:rsidRPr="00B43534">
        <w:rPr>
          <w:rFonts w:ascii="Helvetica" w:hAnsi="Helvetica"/>
          <w:sz w:val="20"/>
        </w:rPr>
        <w:t xml:space="preserve">interroger </w:t>
      </w:r>
      <w:r>
        <w:rPr>
          <w:rFonts w:ascii="Helvetica" w:hAnsi="Helvetica"/>
          <w:sz w:val="20"/>
        </w:rPr>
        <w:t xml:space="preserve">via </w:t>
      </w:r>
      <w:r w:rsidRPr="00B43534">
        <w:rPr>
          <w:rFonts w:ascii="Helvetica" w:hAnsi="Helvetica"/>
          <w:sz w:val="20"/>
        </w:rPr>
        <w:t>un index</w:t>
      </w:r>
      <w:r>
        <w:rPr>
          <w:rFonts w:ascii="Helvetica" w:hAnsi="Helvetica"/>
          <w:sz w:val="20"/>
        </w:rPr>
        <w:t xml:space="preserve"> positionné</w:t>
      </w:r>
      <w:r w:rsidRPr="00B43534">
        <w:rPr>
          <w:rFonts w:ascii="Helvetica" w:hAnsi="Helvetica"/>
          <w:sz w:val="20"/>
        </w:rPr>
        <w:t xml:space="preserve"> au niveau de la collection </w:t>
      </w:r>
      <w:r>
        <w:rPr>
          <w:rFonts w:ascii="Helvetica" w:hAnsi="Helvetica"/>
          <w:sz w:val="20"/>
        </w:rPr>
        <w:t>(« Free (electronic collection) »)</w:t>
      </w:r>
      <w:r w:rsidRPr="00B43534">
        <w:rPr>
          <w:rFonts w:ascii="Helvetica" w:hAnsi="Helvetica"/>
          <w:sz w:val="20"/>
        </w:rPr>
        <w:t>.</w:t>
      </w:r>
    </w:p>
    <w:p w:rsidR="00FF5E46" w:rsidRDefault="00F2661B" w:rsidP="00B43534">
      <w:pPr>
        <w:jc w:val="center"/>
        <w:rPr>
          <w:rFonts w:ascii="Helvetica" w:hAnsi="Helvetica"/>
          <w:sz w:val="20"/>
        </w:rPr>
      </w:pPr>
      <w:r>
        <w:rPr>
          <w:rFonts w:ascii="Helvetica" w:hAnsi="Helvetica"/>
          <w:noProof/>
          <w:sz w:val="20"/>
          <w:lang w:eastAsia="fr-FR"/>
        </w:rPr>
        <w:drawing>
          <wp:inline distT="0" distB="0" distL="0" distR="0">
            <wp:extent cx="3081534" cy="1883668"/>
            <wp:effectExtent l="0" t="0" r="5080" b="254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2018-10-24_174235.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081534" cy="1883668"/>
                    </a:xfrm>
                    <a:prstGeom prst="rect">
                      <a:avLst/>
                    </a:prstGeom>
                  </pic:spPr>
                </pic:pic>
              </a:graphicData>
            </a:graphic>
          </wp:inline>
        </w:drawing>
      </w:r>
    </w:p>
    <w:p w:rsidR="00B43534" w:rsidRPr="00B43534" w:rsidRDefault="00B43534" w:rsidP="00B43534">
      <w:pPr>
        <w:jc w:val="both"/>
        <w:rPr>
          <w:rFonts w:ascii="Helvetica" w:hAnsi="Helvetica"/>
          <w:sz w:val="20"/>
        </w:rPr>
      </w:pPr>
      <w:r>
        <w:rPr>
          <w:rFonts w:ascii="Helvetica" w:hAnsi="Helvetica"/>
          <w:sz w:val="20"/>
        </w:rPr>
        <w:t>D</w:t>
      </w:r>
      <w:r w:rsidRPr="00B43534">
        <w:rPr>
          <w:rFonts w:ascii="Helvetica" w:hAnsi="Helvetica"/>
          <w:sz w:val="20"/>
        </w:rPr>
        <w:t>ans la mesure où</w:t>
      </w:r>
      <w:r>
        <w:rPr>
          <w:rFonts w:ascii="Helvetica" w:hAnsi="Helvetica"/>
          <w:sz w:val="20"/>
        </w:rPr>
        <w:t>,</w:t>
      </w:r>
      <w:r w:rsidRPr="00B43534">
        <w:rPr>
          <w:rFonts w:ascii="Helvetica" w:hAnsi="Helvetica"/>
          <w:sz w:val="20"/>
        </w:rPr>
        <w:t xml:space="preserve"> normalement</w:t>
      </w:r>
      <w:r>
        <w:rPr>
          <w:rFonts w:ascii="Helvetica" w:hAnsi="Helvetica"/>
          <w:sz w:val="20"/>
        </w:rPr>
        <w:t>,</w:t>
      </w:r>
      <w:r w:rsidRPr="00B43534">
        <w:rPr>
          <w:rFonts w:ascii="Helvetica" w:hAnsi="Helvetica"/>
          <w:sz w:val="20"/>
        </w:rPr>
        <w:t xml:space="preserve"> cette information est renseignée à la fois dans le service et dans l'éditeur de collection</w:t>
      </w:r>
      <w:r>
        <w:rPr>
          <w:rFonts w:ascii="Helvetica" w:hAnsi="Helvetica"/>
          <w:sz w:val="20"/>
        </w:rPr>
        <w:t>,</w:t>
      </w:r>
      <w:r w:rsidRPr="00B43534">
        <w:rPr>
          <w:rFonts w:ascii="Helvetica" w:hAnsi="Helvetica"/>
          <w:sz w:val="20"/>
        </w:rPr>
        <w:t xml:space="preserve"> on doit obtenir les mêmes résultats avec ces </w:t>
      </w:r>
      <w:r>
        <w:rPr>
          <w:rFonts w:ascii="Helvetica" w:hAnsi="Helvetica"/>
          <w:sz w:val="20"/>
        </w:rPr>
        <w:t>deux</w:t>
      </w:r>
      <w:r w:rsidRPr="00B43534">
        <w:rPr>
          <w:rFonts w:ascii="Helvetica" w:hAnsi="Helvetica"/>
          <w:sz w:val="20"/>
        </w:rPr>
        <w:t xml:space="preserve"> index</w:t>
      </w:r>
      <w:r w:rsidR="00F2661B">
        <w:rPr>
          <w:rFonts w:ascii="Helvetica" w:hAnsi="Helvetica"/>
          <w:sz w:val="20"/>
        </w:rPr>
        <w:t>,</w:t>
      </w:r>
      <w:r w:rsidRPr="00B43534">
        <w:rPr>
          <w:rFonts w:ascii="Helvetica" w:hAnsi="Helvetica"/>
          <w:sz w:val="20"/>
        </w:rPr>
        <w:t xml:space="preserve"> à moins qu'il n'y ait des </w:t>
      </w:r>
      <w:r>
        <w:rPr>
          <w:rFonts w:ascii="Helvetica" w:hAnsi="Helvetica"/>
          <w:sz w:val="20"/>
        </w:rPr>
        <w:t>bases de données</w:t>
      </w:r>
      <w:r w:rsidRPr="00B43534">
        <w:rPr>
          <w:rFonts w:ascii="Helvetica" w:hAnsi="Helvetica"/>
          <w:sz w:val="20"/>
        </w:rPr>
        <w:t xml:space="preserve"> gratuites. En effet</w:t>
      </w:r>
      <w:r>
        <w:rPr>
          <w:rFonts w:ascii="Helvetica" w:hAnsi="Helvetica"/>
          <w:sz w:val="20"/>
        </w:rPr>
        <w:t>,</w:t>
      </w:r>
      <w:r w:rsidRPr="00B43534">
        <w:rPr>
          <w:rFonts w:ascii="Helvetica" w:hAnsi="Helvetica"/>
          <w:sz w:val="20"/>
        </w:rPr>
        <w:t xml:space="preserve"> dans ce cas, l'information est uniquement remplie au niveau</w:t>
      </w:r>
      <w:r>
        <w:rPr>
          <w:rFonts w:ascii="Helvetica" w:hAnsi="Helvetica"/>
          <w:sz w:val="20"/>
        </w:rPr>
        <w:t xml:space="preserve"> de l'éditeur de la collection, car </w:t>
      </w:r>
      <w:r w:rsidRPr="00B43534">
        <w:rPr>
          <w:rFonts w:ascii="Helvetica" w:hAnsi="Helvetica"/>
          <w:sz w:val="20"/>
        </w:rPr>
        <w:t>il n'y a pas de ser</w:t>
      </w:r>
      <w:r>
        <w:rPr>
          <w:rFonts w:ascii="Helvetica" w:hAnsi="Helvetica"/>
          <w:sz w:val="20"/>
        </w:rPr>
        <w:t xml:space="preserve">vice pour </w:t>
      </w:r>
      <w:r w:rsidR="00F2661B">
        <w:rPr>
          <w:rFonts w:ascii="Helvetica" w:hAnsi="Helvetica"/>
          <w:sz w:val="20"/>
        </w:rPr>
        <w:t>les bases de données</w:t>
      </w:r>
      <w:r w:rsidRPr="00B43534">
        <w:rPr>
          <w:rFonts w:ascii="Helvetica" w:hAnsi="Helvetica"/>
          <w:sz w:val="20"/>
        </w:rPr>
        <w:t>.</w:t>
      </w:r>
    </w:p>
    <w:p w:rsidR="00B43534" w:rsidRDefault="00B43534" w:rsidP="00B43534">
      <w:pPr>
        <w:jc w:val="both"/>
        <w:rPr>
          <w:rFonts w:ascii="Helvetica" w:hAnsi="Helvetica"/>
          <w:sz w:val="20"/>
        </w:rPr>
      </w:pPr>
      <w:r>
        <w:rPr>
          <w:rFonts w:ascii="Helvetica" w:hAnsi="Helvetica"/>
          <w:sz w:val="20"/>
        </w:rPr>
        <w:t>Autrement dit,</w:t>
      </w:r>
      <w:r w:rsidRPr="00B43534">
        <w:rPr>
          <w:rFonts w:ascii="Helvetica" w:hAnsi="Helvetica"/>
          <w:sz w:val="20"/>
        </w:rPr>
        <w:t xml:space="preserve"> </w:t>
      </w:r>
      <w:r>
        <w:rPr>
          <w:rFonts w:ascii="Helvetica" w:hAnsi="Helvetica"/>
          <w:sz w:val="20"/>
        </w:rPr>
        <w:t xml:space="preserve">on obtiendra : </w:t>
      </w:r>
    </w:p>
    <w:p w:rsidR="00B43534" w:rsidRDefault="00B43534" w:rsidP="00B43534">
      <w:pPr>
        <w:pStyle w:val="Paragraphedeliste"/>
        <w:numPr>
          <w:ilvl w:val="0"/>
          <w:numId w:val="30"/>
        </w:numPr>
        <w:jc w:val="both"/>
        <w:rPr>
          <w:rFonts w:ascii="Helvetica" w:hAnsi="Helvetica"/>
          <w:sz w:val="20"/>
        </w:rPr>
      </w:pPr>
      <w:r>
        <w:rPr>
          <w:rFonts w:ascii="Helvetica" w:hAnsi="Helvetica"/>
          <w:sz w:val="20"/>
        </w:rPr>
        <w:t>P</w:t>
      </w:r>
      <w:r w:rsidRPr="00B43534">
        <w:rPr>
          <w:rFonts w:ascii="Helvetica" w:hAnsi="Helvetica"/>
          <w:sz w:val="20"/>
        </w:rPr>
        <w:t>our l'index « Gratuit »</w:t>
      </w:r>
      <w:r>
        <w:rPr>
          <w:rFonts w:ascii="Helvetica" w:hAnsi="Helvetica"/>
          <w:sz w:val="20"/>
        </w:rPr>
        <w:t> :</w:t>
      </w:r>
      <w:r w:rsidRPr="00B43534">
        <w:rPr>
          <w:rFonts w:ascii="Helvetica" w:hAnsi="Helvetica"/>
          <w:sz w:val="20"/>
        </w:rPr>
        <w:t xml:space="preserve"> toutes les collections électroniques gratuites sans les bases de données</w:t>
      </w:r>
    </w:p>
    <w:p w:rsidR="00B43534" w:rsidRPr="00B43534" w:rsidRDefault="00B43534" w:rsidP="00B43534">
      <w:pPr>
        <w:pStyle w:val="Paragraphedeliste"/>
        <w:numPr>
          <w:ilvl w:val="0"/>
          <w:numId w:val="30"/>
        </w:numPr>
        <w:jc w:val="both"/>
        <w:rPr>
          <w:rFonts w:ascii="Helvetica" w:hAnsi="Helvetica"/>
          <w:sz w:val="20"/>
        </w:rPr>
      </w:pPr>
      <w:r w:rsidRPr="00B43534">
        <w:rPr>
          <w:rFonts w:ascii="Helvetica" w:hAnsi="Helvetica"/>
          <w:sz w:val="20"/>
        </w:rPr>
        <w:lastRenderedPageBreak/>
        <w:t>Pour l’index « Free (electronic collection) » : t</w:t>
      </w:r>
      <w:r>
        <w:rPr>
          <w:rFonts w:ascii="Helvetica" w:hAnsi="Helvetica"/>
          <w:sz w:val="20"/>
        </w:rPr>
        <w:t>outes les collections gratuites, plus</w:t>
      </w:r>
      <w:r w:rsidRPr="00B43534">
        <w:rPr>
          <w:rFonts w:ascii="Helvetica" w:hAnsi="Helvetica"/>
          <w:sz w:val="20"/>
        </w:rPr>
        <w:t xml:space="preserve"> les </w:t>
      </w:r>
      <w:r>
        <w:rPr>
          <w:rFonts w:ascii="Helvetica" w:hAnsi="Helvetica"/>
          <w:sz w:val="20"/>
        </w:rPr>
        <w:t>bases de données</w:t>
      </w:r>
      <w:r w:rsidRPr="00B43534">
        <w:rPr>
          <w:rFonts w:ascii="Helvetica" w:hAnsi="Helvetica"/>
          <w:sz w:val="20"/>
        </w:rPr>
        <w:t xml:space="preserve"> gratuites</w:t>
      </w:r>
    </w:p>
    <w:p w:rsidR="00B43534" w:rsidRDefault="00B43534" w:rsidP="004679EA">
      <w:pPr>
        <w:jc w:val="both"/>
        <w:rPr>
          <w:rFonts w:ascii="Helvetica" w:hAnsi="Helvetica"/>
          <w:sz w:val="20"/>
        </w:rPr>
      </w:pPr>
      <w:r>
        <w:rPr>
          <w:rFonts w:ascii="Helvetica" w:hAnsi="Helvetica"/>
          <w:sz w:val="20"/>
        </w:rPr>
        <w:t>P</w:t>
      </w:r>
      <w:r w:rsidRPr="00B43534">
        <w:rPr>
          <w:rFonts w:ascii="Helvetica" w:hAnsi="Helvetica"/>
          <w:sz w:val="20"/>
        </w:rPr>
        <w:t xml:space="preserve">our avoir seulement les </w:t>
      </w:r>
      <w:r>
        <w:rPr>
          <w:rFonts w:ascii="Helvetica" w:hAnsi="Helvetica"/>
          <w:sz w:val="20"/>
        </w:rPr>
        <w:t xml:space="preserve">bases de données </w:t>
      </w:r>
      <w:r w:rsidRPr="00B43534">
        <w:rPr>
          <w:rFonts w:ascii="Helvetica" w:hAnsi="Helvetica"/>
          <w:sz w:val="20"/>
        </w:rPr>
        <w:t>gratuites</w:t>
      </w:r>
      <w:r>
        <w:rPr>
          <w:rFonts w:ascii="Helvetica" w:hAnsi="Helvetica"/>
          <w:sz w:val="20"/>
        </w:rPr>
        <w:t xml:space="preserve">, il conviendra de combiner les deux index suivants : « Free </w:t>
      </w:r>
      <w:r w:rsidRPr="00B43534">
        <w:rPr>
          <w:rFonts w:ascii="Helvetica" w:hAnsi="Helvetica"/>
          <w:sz w:val="20"/>
        </w:rPr>
        <w:t>(electronic collection)</w:t>
      </w:r>
      <w:r>
        <w:rPr>
          <w:rFonts w:ascii="Helvetica" w:hAnsi="Helvetica"/>
          <w:sz w:val="20"/>
        </w:rPr>
        <w:t xml:space="preserve"> » (= « Gratuit ») et « Type de collection électronique » (= « Base de données »). </w:t>
      </w:r>
    </w:p>
    <w:p w:rsidR="00B43534" w:rsidRDefault="00B43534" w:rsidP="004679EA">
      <w:pPr>
        <w:jc w:val="both"/>
        <w:rPr>
          <w:rFonts w:ascii="Helvetica" w:hAnsi="Helvetica"/>
          <w:sz w:val="20"/>
        </w:rPr>
      </w:pPr>
      <w:r>
        <w:rPr>
          <w:rFonts w:ascii="Helvetica" w:hAnsi="Helvetica"/>
          <w:sz w:val="20"/>
        </w:rPr>
        <w:t xml:space="preserve">Il est à noter que cette mise à jour nécessite une réindexation de la base de données d’Alma. </w:t>
      </w:r>
    </w:p>
    <w:p w:rsidR="005E08E8" w:rsidRDefault="005E08E8" w:rsidP="004679EA">
      <w:pPr>
        <w:jc w:val="both"/>
        <w:rPr>
          <w:rFonts w:ascii="Helvetica" w:hAnsi="Helvetica"/>
          <w:sz w:val="20"/>
        </w:rPr>
      </w:pPr>
    </w:p>
    <w:p w:rsidR="005E08E8" w:rsidRDefault="005E08E8" w:rsidP="005E08E8">
      <w:pPr>
        <w:pStyle w:val="Titre2"/>
        <w:jc w:val="both"/>
        <w:rPr>
          <w:rFonts w:asciiTheme="minorHAnsi" w:hAnsiTheme="minorHAnsi"/>
          <w:color w:val="auto"/>
          <w:sz w:val="32"/>
        </w:rPr>
      </w:pPr>
      <w:r>
        <w:rPr>
          <w:rFonts w:asciiTheme="minorHAnsi" w:hAnsiTheme="minorHAnsi"/>
          <w:color w:val="auto"/>
          <w:sz w:val="32"/>
        </w:rPr>
        <w:t>Statistiques COUNTER et protocole SUSHI</w:t>
      </w:r>
    </w:p>
    <w:p w:rsidR="005E08E8" w:rsidRDefault="005E08E8" w:rsidP="005E08E8">
      <w:pPr>
        <w:pStyle w:val="Titre3"/>
        <w:jc w:val="both"/>
        <w:rPr>
          <w:color w:val="auto"/>
          <w:sz w:val="28"/>
        </w:rPr>
      </w:pPr>
      <w:r>
        <w:rPr>
          <w:color w:val="auto"/>
          <w:sz w:val="28"/>
        </w:rPr>
        <w:t>Gestion des comptes SUSHI</w:t>
      </w:r>
    </w:p>
    <w:p w:rsidR="005E08E8" w:rsidRDefault="005E08E8" w:rsidP="005E08E8">
      <w:pPr>
        <w:jc w:val="both"/>
        <w:rPr>
          <w:rFonts w:ascii="Helvetica" w:hAnsi="Helvetica"/>
          <w:sz w:val="20"/>
        </w:rPr>
      </w:pPr>
      <w:r>
        <w:rPr>
          <w:rFonts w:ascii="Helvetica" w:hAnsi="Helvetica"/>
          <w:sz w:val="20"/>
        </w:rPr>
        <w:t xml:space="preserve">Lors </w:t>
      </w:r>
      <w:r>
        <w:rPr>
          <w:rFonts w:ascii="Arial" w:hAnsi="Arial" w:cs="Arial"/>
          <w:color w:val="000000"/>
          <w:sz w:val="20"/>
          <w:szCs w:val="20"/>
          <w:shd w:val="clear" w:color="auto" w:fill="FFFFFF"/>
        </w:rPr>
        <w:t>de la création d'un compte SUSHI, il est possible, désormais, de chercher le nom d'un fournisseur Sushi au sein de la zone communautaire. Cela permet, s'il existe, de rapatrier automatiquement des informations comme le nom, l'URL du fournisseur, le contact, etc.</w:t>
      </w:r>
    </w:p>
    <w:p w:rsidR="005E08E8" w:rsidRPr="005E08E8" w:rsidRDefault="005E08E8" w:rsidP="005E08E8">
      <w:pPr>
        <w:jc w:val="both"/>
      </w:pPr>
      <w:r>
        <w:rPr>
          <w:noProof/>
          <w:lang w:eastAsia="fr-FR"/>
        </w:rPr>
        <w:drawing>
          <wp:inline distT="0" distB="0" distL="0" distR="0">
            <wp:extent cx="5760720" cy="149479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ompte-SUSHI.png"/>
                    <pic:cNvPicPr/>
                  </pic:nvPicPr>
                  <pic:blipFill>
                    <a:blip r:embed="rId20">
                      <a:extLst>
                        <a:ext uri="{28A0092B-C50C-407E-A947-70E740481C1C}">
                          <a14:useLocalDpi xmlns:a14="http://schemas.microsoft.com/office/drawing/2010/main" val="0"/>
                        </a:ext>
                      </a:extLst>
                    </a:blip>
                    <a:stretch>
                      <a:fillRect/>
                    </a:stretch>
                  </pic:blipFill>
                  <pic:spPr>
                    <a:xfrm>
                      <a:off x="0" y="0"/>
                      <a:ext cx="5760720" cy="1494790"/>
                    </a:xfrm>
                    <a:prstGeom prst="rect">
                      <a:avLst/>
                    </a:prstGeom>
                  </pic:spPr>
                </pic:pic>
              </a:graphicData>
            </a:graphic>
          </wp:inline>
        </w:drawing>
      </w:r>
    </w:p>
    <w:p w:rsidR="005E08E8" w:rsidRDefault="005E08E8" w:rsidP="005E08E8">
      <w:pPr>
        <w:pStyle w:val="Titre3"/>
        <w:jc w:val="both"/>
        <w:rPr>
          <w:color w:val="auto"/>
          <w:sz w:val="28"/>
        </w:rPr>
      </w:pPr>
      <w:r>
        <w:rPr>
          <w:color w:val="auto"/>
          <w:sz w:val="28"/>
        </w:rPr>
        <w:t>Nouveaux rapports COUNTER disponibles au moissonnage</w:t>
      </w:r>
    </w:p>
    <w:p w:rsidR="005E08E8" w:rsidRPr="005E08E8" w:rsidRDefault="005E08E8" w:rsidP="005E08E8">
      <w:pPr>
        <w:jc w:val="both"/>
      </w:pPr>
      <w:r>
        <w:rPr>
          <w:rFonts w:ascii="Helvetica" w:hAnsi="Helvetica"/>
          <w:sz w:val="20"/>
        </w:rPr>
        <w:t>De nouveaux rapports COUNTER sont disponibles au moissonnage par le protocole SUSHI : BR4, BR5, DB2, JR2 et MR1.</w:t>
      </w:r>
    </w:p>
    <w:p w:rsidR="005E08E8" w:rsidRPr="005E08E8" w:rsidRDefault="005E08E8" w:rsidP="005E08E8">
      <w:pPr>
        <w:pStyle w:val="Titre3"/>
        <w:jc w:val="both"/>
        <w:rPr>
          <w:color w:val="auto"/>
          <w:sz w:val="28"/>
        </w:rPr>
      </w:pPr>
      <w:r w:rsidRPr="005E08E8">
        <w:rPr>
          <w:color w:val="auto"/>
          <w:sz w:val="28"/>
        </w:rPr>
        <w:t>Chargement des rapports COUNTER : nouveau statut</w:t>
      </w:r>
    </w:p>
    <w:p w:rsidR="00B43534" w:rsidRDefault="005E08E8" w:rsidP="005E08E8">
      <w:pPr>
        <w:jc w:val="both"/>
        <w:rPr>
          <w:rFonts w:ascii="Helvetica" w:hAnsi="Helvetica"/>
          <w:sz w:val="20"/>
        </w:rPr>
      </w:pPr>
      <w:r>
        <w:rPr>
          <w:rFonts w:ascii="Helvetica" w:hAnsi="Helvetica"/>
          <w:sz w:val="20"/>
        </w:rPr>
        <w:t>Un nouveau statut a été implémenté « Partiellement chargé ». Il sera utilisé pour les rapports COUNTER qui n’auront pas pu être chargés totalement, que ce soit manuellement ou automatiquement via le protocole SUSHI. Le résultat de traitement apparaîtra également comme « ter</w:t>
      </w:r>
      <w:r w:rsidRPr="005E08E8">
        <w:rPr>
          <w:rFonts w:ascii="Helvetica" w:hAnsi="Helvetica"/>
          <w:sz w:val="20"/>
        </w:rPr>
        <w:t>miné avec des erreurs"</w:t>
      </w:r>
    </w:p>
    <w:p w:rsidR="00B43534" w:rsidRDefault="00B43534" w:rsidP="004679EA">
      <w:pPr>
        <w:jc w:val="both"/>
        <w:rPr>
          <w:rFonts w:ascii="Helvetica" w:hAnsi="Helvetica"/>
          <w:sz w:val="20"/>
        </w:rPr>
      </w:pPr>
    </w:p>
    <w:p w:rsidR="0083132C" w:rsidRDefault="0083132C" w:rsidP="004679EA">
      <w:pPr>
        <w:jc w:val="both"/>
        <w:rPr>
          <w:rFonts w:ascii="Helvetica" w:hAnsi="Helvetica"/>
          <w:sz w:val="20"/>
        </w:rPr>
      </w:pPr>
    </w:p>
    <w:p w:rsidR="00FF5E46" w:rsidRDefault="00FF5E46" w:rsidP="00FF5E46">
      <w:pPr>
        <w:pStyle w:val="Titre1"/>
        <w:jc w:val="both"/>
        <w:rPr>
          <w:rFonts w:asciiTheme="minorHAnsi" w:hAnsiTheme="minorHAnsi"/>
          <w:color w:val="auto"/>
          <w:sz w:val="40"/>
          <w:szCs w:val="40"/>
        </w:rPr>
      </w:pPr>
      <w:r>
        <w:rPr>
          <w:rFonts w:asciiTheme="minorHAnsi" w:hAnsiTheme="minorHAnsi"/>
          <w:color w:val="auto"/>
          <w:sz w:val="40"/>
          <w:szCs w:val="40"/>
        </w:rPr>
        <w:t>Circulation et services aux usagers</w:t>
      </w:r>
    </w:p>
    <w:p w:rsidR="00FF5E46" w:rsidRDefault="00FF5E46" w:rsidP="00FF5E46">
      <w:pPr>
        <w:jc w:val="both"/>
      </w:pPr>
    </w:p>
    <w:p w:rsidR="00FF5E46" w:rsidRDefault="00FF5E46" w:rsidP="00FF5E46">
      <w:pPr>
        <w:pStyle w:val="Titre2"/>
        <w:jc w:val="both"/>
        <w:rPr>
          <w:rFonts w:asciiTheme="minorHAnsi" w:hAnsiTheme="minorHAnsi"/>
          <w:color w:val="auto"/>
          <w:sz w:val="32"/>
        </w:rPr>
      </w:pPr>
      <w:r>
        <w:rPr>
          <w:rFonts w:asciiTheme="minorHAnsi" w:hAnsiTheme="minorHAnsi"/>
          <w:color w:val="auto"/>
          <w:sz w:val="32"/>
        </w:rPr>
        <w:t>Interdiction des retours sur les automates pour les documents réservés</w:t>
      </w:r>
    </w:p>
    <w:p w:rsidR="00FF5E46" w:rsidRDefault="00FF5E46" w:rsidP="00FF5E46">
      <w:pPr>
        <w:jc w:val="both"/>
        <w:rPr>
          <w:rFonts w:ascii="Helvetica" w:hAnsi="Helvetica"/>
          <w:sz w:val="20"/>
        </w:rPr>
      </w:pPr>
      <w:r>
        <w:rPr>
          <w:rFonts w:ascii="Helvetica" w:hAnsi="Helvetica"/>
          <w:sz w:val="20"/>
        </w:rPr>
        <w:t xml:space="preserve">Un paramètre a été ajouté pour permettre l’interdiction du retour à l’automate de documents réservés par un tiers. </w:t>
      </w:r>
    </w:p>
    <w:p w:rsidR="00FF5E46" w:rsidRDefault="00FF5E46" w:rsidP="004679EA">
      <w:pPr>
        <w:jc w:val="both"/>
        <w:rPr>
          <w:rFonts w:ascii="Helvetica" w:hAnsi="Helvetica"/>
          <w:sz w:val="20"/>
        </w:rPr>
      </w:pPr>
    </w:p>
    <w:p w:rsidR="004E50F5" w:rsidRDefault="004E50F5" w:rsidP="004679EA">
      <w:pPr>
        <w:jc w:val="both"/>
        <w:rPr>
          <w:rFonts w:ascii="Helvetica" w:hAnsi="Helvetica"/>
          <w:sz w:val="20"/>
        </w:rPr>
      </w:pPr>
      <w:r>
        <w:rPr>
          <w:rFonts w:ascii="Helvetica" w:hAnsi="Helvetica"/>
          <w:sz w:val="20"/>
        </w:rPr>
        <w:lastRenderedPageBreak/>
        <w:t xml:space="preserve"> </w:t>
      </w:r>
      <w:r w:rsidR="00486028">
        <w:rPr>
          <w:rFonts w:ascii="Helvetica" w:hAnsi="Helvetica"/>
          <w:noProof/>
          <w:sz w:val="20"/>
          <w:lang w:eastAsia="fr-FR"/>
        </w:rPr>
        <w:drawing>
          <wp:inline distT="0" distB="0" distL="0" distR="0">
            <wp:extent cx="5760720" cy="311023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2018-10-24_163110.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760720" cy="3110230"/>
                    </a:xfrm>
                    <a:prstGeom prst="rect">
                      <a:avLst/>
                    </a:prstGeom>
                  </pic:spPr>
                </pic:pic>
              </a:graphicData>
            </a:graphic>
          </wp:inline>
        </w:drawing>
      </w:r>
    </w:p>
    <w:p w:rsidR="004E50F5" w:rsidRPr="00117E9B" w:rsidRDefault="004E50F5" w:rsidP="004679EA">
      <w:pPr>
        <w:jc w:val="both"/>
        <w:rPr>
          <w:rFonts w:ascii="Helvetica" w:hAnsi="Helvetica"/>
          <w:b/>
          <w:sz w:val="20"/>
          <w:u w:val="single"/>
        </w:rPr>
      </w:pPr>
      <w:r w:rsidRPr="00117E9B">
        <w:rPr>
          <w:rFonts w:ascii="Helvetica" w:hAnsi="Helvetica"/>
          <w:b/>
          <w:sz w:val="20"/>
          <w:u w:val="single"/>
        </w:rPr>
        <w:t>L’avis</w:t>
      </w:r>
      <w:r w:rsidRPr="00117E9B">
        <w:rPr>
          <w:rFonts w:ascii="Helvetica" w:hAnsi="Helvetica"/>
          <w:b/>
          <w:sz w:val="20"/>
        </w:rPr>
        <w:t xml:space="preserve"> </w:t>
      </w:r>
      <w:r w:rsidRPr="00117E9B">
        <w:rPr>
          <w:rFonts w:ascii="Helvetica" w:hAnsi="Helvetica"/>
          <w:b/>
          <w:sz w:val="20"/>
          <w:u w:val="single"/>
        </w:rPr>
        <w:t>du</w:t>
      </w:r>
      <w:r w:rsidRPr="00117E9B">
        <w:rPr>
          <w:rFonts w:ascii="Helvetica" w:hAnsi="Helvetica"/>
          <w:b/>
          <w:sz w:val="20"/>
        </w:rPr>
        <w:t xml:space="preserve"> </w:t>
      </w:r>
      <w:r w:rsidRPr="00117E9B">
        <w:rPr>
          <w:rFonts w:ascii="Helvetica" w:hAnsi="Helvetica"/>
          <w:b/>
          <w:sz w:val="20"/>
          <w:u w:val="single"/>
        </w:rPr>
        <w:t>SICD</w:t>
      </w:r>
    </w:p>
    <w:p w:rsidR="00894A43" w:rsidRDefault="00486028" w:rsidP="004679EA">
      <w:pPr>
        <w:jc w:val="both"/>
        <w:rPr>
          <w:rFonts w:ascii="Helvetica" w:hAnsi="Helvetica"/>
          <w:sz w:val="20"/>
        </w:rPr>
      </w:pPr>
      <w:r>
        <w:rPr>
          <w:rFonts w:ascii="Helvetica" w:hAnsi="Helvetica"/>
          <w:sz w:val="20"/>
        </w:rPr>
        <w:t xml:space="preserve">Cette mise à jour répond à un besoin exprimé par la BU Santé de Rangueil. Il </w:t>
      </w:r>
      <w:r w:rsidR="00F2661B">
        <w:rPr>
          <w:rFonts w:ascii="Helvetica" w:hAnsi="Helvetica"/>
          <w:sz w:val="20"/>
        </w:rPr>
        <w:t>conviendra</w:t>
      </w:r>
      <w:r>
        <w:rPr>
          <w:rFonts w:ascii="Helvetica" w:hAnsi="Helvetica"/>
          <w:sz w:val="20"/>
        </w:rPr>
        <w:t xml:space="preserve"> vérifier si cette interdiction est élargie aux exemplaires ayant reçu un ordre de traitement interne, l’assignation d’un tel ordre étant assimilé à une « demande » dans Alma. </w:t>
      </w:r>
      <w:r w:rsidR="004E50F5">
        <w:rPr>
          <w:rFonts w:ascii="Helvetica" w:hAnsi="Helvetica"/>
          <w:sz w:val="20"/>
        </w:rPr>
        <w:t xml:space="preserve"> </w:t>
      </w:r>
    </w:p>
    <w:p w:rsidR="00486028" w:rsidRDefault="00486028" w:rsidP="004679EA">
      <w:pPr>
        <w:jc w:val="both"/>
        <w:rPr>
          <w:rFonts w:ascii="Helvetica" w:hAnsi="Helvetica"/>
          <w:sz w:val="20"/>
        </w:rPr>
      </w:pPr>
      <w:r>
        <w:rPr>
          <w:rFonts w:ascii="Helvetica" w:hAnsi="Helvetica"/>
          <w:sz w:val="20"/>
        </w:rPr>
        <w:t xml:space="preserve">Ce paramètre sera appliqué et testé à partir du 5 novembre. </w:t>
      </w:r>
    </w:p>
    <w:p w:rsidR="004E50F5" w:rsidRDefault="004E50F5" w:rsidP="004679EA">
      <w:pPr>
        <w:jc w:val="both"/>
        <w:rPr>
          <w:rFonts w:ascii="Helvetica" w:hAnsi="Helvetica"/>
          <w:sz w:val="20"/>
        </w:rPr>
      </w:pPr>
    </w:p>
    <w:p w:rsidR="0083132C" w:rsidRDefault="0083132C" w:rsidP="004679EA">
      <w:pPr>
        <w:jc w:val="both"/>
        <w:rPr>
          <w:rFonts w:ascii="Helvetica" w:hAnsi="Helvetica"/>
          <w:sz w:val="20"/>
        </w:rPr>
      </w:pPr>
    </w:p>
    <w:p w:rsidR="0083132C" w:rsidRDefault="0083132C" w:rsidP="0083132C">
      <w:pPr>
        <w:pStyle w:val="Titre1"/>
        <w:jc w:val="both"/>
        <w:rPr>
          <w:rFonts w:asciiTheme="minorHAnsi" w:hAnsiTheme="minorHAnsi"/>
          <w:color w:val="auto"/>
          <w:sz w:val="40"/>
          <w:szCs w:val="40"/>
        </w:rPr>
      </w:pPr>
      <w:r>
        <w:rPr>
          <w:rFonts w:asciiTheme="minorHAnsi" w:hAnsiTheme="minorHAnsi"/>
          <w:color w:val="auto"/>
          <w:sz w:val="40"/>
          <w:szCs w:val="40"/>
        </w:rPr>
        <w:t>Autre mise à jour (hors mise à jour mensuelle d’Alma)</w:t>
      </w:r>
    </w:p>
    <w:p w:rsidR="0083132C" w:rsidRDefault="0083132C" w:rsidP="0083132C">
      <w:pPr>
        <w:jc w:val="both"/>
      </w:pPr>
    </w:p>
    <w:p w:rsidR="0083132C" w:rsidRDefault="0083132C" w:rsidP="0083132C">
      <w:pPr>
        <w:pStyle w:val="Titre2"/>
        <w:jc w:val="both"/>
        <w:rPr>
          <w:rFonts w:asciiTheme="minorHAnsi" w:hAnsiTheme="minorHAnsi"/>
          <w:color w:val="auto"/>
          <w:sz w:val="32"/>
        </w:rPr>
      </w:pPr>
      <w:r>
        <w:rPr>
          <w:rFonts w:asciiTheme="minorHAnsi" w:hAnsiTheme="minorHAnsi"/>
          <w:color w:val="auto"/>
          <w:sz w:val="32"/>
        </w:rPr>
        <w:t>Service OADOI</w:t>
      </w:r>
    </w:p>
    <w:p w:rsidR="0083132C" w:rsidRDefault="0083132C" w:rsidP="0083132C">
      <w:pPr>
        <w:jc w:val="both"/>
        <w:rPr>
          <w:rFonts w:ascii="Helvetica" w:hAnsi="Helvetica"/>
          <w:sz w:val="20"/>
        </w:rPr>
      </w:pPr>
      <w:r>
        <w:rPr>
          <w:rFonts w:ascii="Helvetica" w:hAnsi="Helvetica"/>
          <w:sz w:val="20"/>
        </w:rPr>
        <w:t xml:space="preserve">Un nouveau service en ligne sera configuré dans Alma, pour un affichage dans Primo : OADOI. </w:t>
      </w:r>
    </w:p>
    <w:p w:rsidR="00B202CE" w:rsidRDefault="0083132C" w:rsidP="0083132C">
      <w:pPr>
        <w:jc w:val="both"/>
        <w:rPr>
          <w:rFonts w:ascii="Helvetica" w:hAnsi="Helvetica"/>
          <w:sz w:val="20"/>
        </w:rPr>
      </w:pPr>
      <w:r>
        <w:rPr>
          <w:rFonts w:ascii="Helvetica" w:hAnsi="Helvetica"/>
          <w:sz w:val="20"/>
        </w:rPr>
        <w:t>Ce service permet, à partir du numéro DOI d’une ressource, de pr</w:t>
      </w:r>
      <w:r w:rsidR="00491A58">
        <w:rPr>
          <w:rFonts w:ascii="Helvetica" w:hAnsi="Helvetica"/>
          <w:sz w:val="20"/>
        </w:rPr>
        <w:t xml:space="preserve">oposer un lien vers une version en </w:t>
      </w:r>
      <w:r w:rsidR="00491A58">
        <w:rPr>
          <w:rFonts w:ascii="Helvetica" w:hAnsi="Helvetica"/>
          <w:i/>
          <w:sz w:val="20"/>
        </w:rPr>
        <w:t xml:space="preserve">open access </w:t>
      </w:r>
      <w:r w:rsidR="00491A58">
        <w:rPr>
          <w:rFonts w:ascii="Helvetica" w:hAnsi="Helvetica"/>
          <w:sz w:val="20"/>
        </w:rPr>
        <w:t xml:space="preserve">de cette ressource. </w:t>
      </w:r>
      <w:r w:rsidR="00B202CE">
        <w:rPr>
          <w:rFonts w:ascii="Helvetica" w:hAnsi="Helvetica"/>
          <w:sz w:val="20"/>
        </w:rPr>
        <w:t xml:space="preserve">Le lien s’affiche dans la section « Consulter ». </w:t>
      </w:r>
    </w:p>
    <w:p w:rsidR="0083132C" w:rsidRDefault="00B202CE" w:rsidP="0083132C">
      <w:pPr>
        <w:jc w:val="both"/>
        <w:rPr>
          <w:rFonts w:ascii="Helvetica" w:hAnsi="Helvetica"/>
          <w:sz w:val="20"/>
        </w:rPr>
      </w:pPr>
      <w:r>
        <w:rPr>
          <w:rFonts w:ascii="Helvetica" w:hAnsi="Helvetica"/>
          <w:sz w:val="20"/>
        </w:rPr>
        <w:t xml:space="preserve">Ce service n’est valable que pour les ressources électroniques. Il sera paramétré le 5 novembre, pour un affichage immédiat sur l’ensemble des vues Primo. </w:t>
      </w:r>
    </w:p>
    <w:p w:rsidR="00491A58" w:rsidRDefault="00491A58" w:rsidP="0083132C">
      <w:pPr>
        <w:jc w:val="both"/>
        <w:rPr>
          <w:rFonts w:ascii="Helvetica" w:hAnsi="Helvetica"/>
          <w:sz w:val="20"/>
        </w:rPr>
      </w:pPr>
      <w:r>
        <w:rPr>
          <w:rFonts w:ascii="Helvetica" w:hAnsi="Helvetica"/>
          <w:noProof/>
          <w:sz w:val="20"/>
          <w:lang w:eastAsia="fr-FR"/>
        </w:rPr>
        <w:lastRenderedPageBreak/>
        <w:drawing>
          <wp:inline distT="0" distB="0" distL="0" distR="0">
            <wp:extent cx="5760720" cy="2828290"/>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2018-10-24_174823.png"/>
                    <pic:cNvPicPr/>
                  </pic:nvPicPr>
                  <pic:blipFill>
                    <a:blip r:embed="rId22">
                      <a:extLst>
                        <a:ext uri="{28A0092B-C50C-407E-A947-70E740481C1C}">
                          <a14:useLocalDpi xmlns:a14="http://schemas.microsoft.com/office/drawing/2010/main" val="0"/>
                        </a:ext>
                      </a:extLst>
                    </a:blip>
                    <a:stretch>
                      <a:fillRect/>
                    </a:stretch>
                  </pic:blipFill>
                  <pic:spPr>
                    <a:xfrm>
                      <a:off x="0" y="0"/>
                      <a:ext cx="5760720" cy="2828290"/>
                    </a:xfrm>
                    <a:prstGeom prst="rect">
                      <a:avLst/>
                    </a:prstGeom>
                  </pic:spPr>
                </pic:pic>
              </a:graphicData>
            </a:graphic>
          </wp:inline>
        </w:drawing>
      </w:r>
    </w:p>
    <w:p w:rsidR="00491A58" w:rsidRPr="00491A58" w:rsidRDefault="00491A58" w:rsidP="0083132C">
      <w:pPr>
        <w:jc w:val="both"/>
        <w:rPr>
          <w:rFonts w:ascii="Helvetica" w:hAnsi="Helvetica"/>
          <w:sz w:val="20"/>
        </w:rPr>
      </w:pPr>
      <w:r>
        <w:rPr>
          <w:rFonts w:ascii="Helvetica" w:hAnsi="Helvetica"/>
          <w:noProof/>
          <w:sz w:val="20"/>
          <w:lang w:eastAsia="fr-FR"/>
        </w:rPr>
        <w:drawing>
          <wp:inline distT="0" distB="0" distL="0" distR="0">
            <wp:extent cx="5760720" cy="2865755"/>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2018-10-24_174633.png"/>
                    <pic:cNvPicPr/>
                  </pic:nvPicPr>
                  <pic:blipFill>
                    <a:blip r:embed="rId23">
                      <a:extLst>
                        <a:ext uri="{28A0092B-C50C-407E-A947-70E740481C1C}">
                          <a14:useLocalDpi xmlns:a14="http://schemas.microsoft.com/office/drawing/2010/main" val="0"/>
                        </a:ext>
                      </a:extLst>
                    </a:blip>
                    <a:stretch>
                      <a:fillRect/>
                    </a:stretch>
                  </pic:blipFill>
                  <pic:spPr>
                    <a:xfrm>
                      <a:off x="0" y="0"/>
                      <a:ext cx="5760720" cy="2865755"/>
                    </a:xfrm>
                    <a:prstGeom prst="rect">
                      <a:avLst/>
                    </a:prstGeom>
                  </pic:spPr>
                </pic:pic>
              </a:graphicData>
            </a:graphic>
          </wp:inline>
        </w:drawing>
      </w:r>
    </w:p>
    <w:p w:rsidR="0083132C" w:rsidRDefault="00491A58" w:rsidP="004679EA">
      <w:pPr>
        <w:jc w:val="both"/>
        <w:rPr>
          <w:rFonts w:ascii="Helvetica" w:hAnsi="Helvetica"/>
          <w:sz w:val="20"/>
        </w:rPr>
      </w:pPr>
      <w:r>
        <w:rPr>
          <w:rFonts w:ascii="Helvetica" w:hAnsi="Helvetica"/>
          <w:sz w:val="20"/>
        </w:rPr>
        <w:t>Conformément à la décision prise par le groupe de suivi du projet lors de sa réunion du 5 octobre, ce service sera proposé y compris lorsque</w:t>
      </w:r>
      <w:r w:rsidR="00B202CE">
        <w:rPr>
          <w:rFonts w:ascii="Helvetica" w:hAnsi="Helvetica"/>
          <w:sz w:val="20"/>
        </w:rPr>
        <w:t xml:space="preserve"> le lien vers la plateforme de l’éditeur peut être proposé par Alma. </w:t>
      </w:r>
      <w:r>
        <w:rPr>
          <w:rFonts w:ascii="Helvetica" w:hAnsi="Helvetica"/>
          <w:sz w:val="20"/>
        </w:rPr>
        <w:t xml:space="preserve"> </w:t>
      </w:r>
      <w:r w:rsidR="00B202CE">
        <w:rPr>
          <w:rFonts w:ascii="Helvetica" w:hAnsi="Helvetica"/>
          <w:sz w:val="20"/>
        </w:rPr>
        <w:t xml:space="preserve">Une évaluation de ce service sera réalisée ultérieurement. </w:t>
      </w:r>
    </w:p>
    <w:p w:rsidR="004E50F5" w:rsidRDefault="004E50F5" w:rsidP="004679EA">
      <w:pPr>
        <w:jc w:val="both"/>
        <w:rPr>
          <w:rFonts w:ascii="Helvetica" w:hAnsi="Helvetica"/>
          <w:sz w:val="20"/>
        </w:rPr>
      </w:pPr>
    </w:p>
    <w:bookmarkEnd w:id="0"/>
    <w:bookmarkEnd w:id="1"/>
    <w:p w:rsidR="005A4119" w:rsidRPr="00984A2A" w:rsidRDefault="005A4119" w:rsidP="004679EA">
      <w:pPr>
        <w:jc w:val="both"/>
        <w:rPr>
          <w:rFonts w:ascii="Helvetica" w:hAnsi="Helvetica"/>
          <w:sz w:val="20"/>
          <w:szCs w:val="20"/>
        </w:rPr>
      </w:pPr>
    </w:p>
    <w:sectPr w:rsidR="005A4119" w:rsidRPr="00984A2A">
      <w:headerReference w:type="default" r:id="rId24"/>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96E" w:rsidRDefault="00A9096E" w:rsidP="0000222F">
      <w:pPr>
        <w:spacing w:after="0" w:line="240" w:lineRule="auto"/>
      </w:pPr>
      <w:r>
        <w:separator/>
      </w:r>
    </w:p>
  </w:endnote>
  <w:endnote w:type="continuationSeparator" w:id="0">
    <w:p w:rsidR="00A9096E" w:rsidRDefault="00A9096E" w:rsidP="00002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504020202030204"/>
    <w:charset w:val="00"/>
    <w:family w:val="swiss"/>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7706716"/>
      <w:docPartObj>
        <w:docPartGallery w:val="Page Numbers (Bottom of Page)"/>
        <w:docPartUnique/>
      </w:docPartObj>
    </w:sdtPr>
    <w:sdtEndPr/>
    <w:sdtContent>
      <w:p w:rsidR="00A9096E" w:rsidRDefault="00A9096E">
        <w:pPr>
          <w:pStyle w:val="Pieddepage"/>
          <w:jc w:val="right"/>
        </w:pPr>
        <w:r w:rsidRPr="004B003B">
          <w:rPr>
            <w:rFonts w:ascii="Constantia" w:hAnsi="Constantia"/>
            <w:sz w:val="24"/>
          </w:rPr>
          <w:fldChar w:fldCharType="begin"/>
        </w:r>
        <w:r w:rsidRPr="004B003B">
          <w:rPr>
            <w:rFonts w:ascii="Constantia" w:hAnsi="Constantia"/>
            <w:sz w:val="24"/>
          </w:rPr>
          <w:instrText>PAGE   \* MERGEFORMAT</w:instrText>
        </w:r>
        <w:r w:rsidRPr="004B003B">
          <w:rPr>
            <w:rFonts w:ascii="Constantia" w:hAnsi="Constantia"/>
            <w:sz w:val="24"/>
          </w:rPr>
          <w:fldChar w:fldCharType="separate"/>
        </w:r>
        <w:r w:rsidR="00E53580">
          <w:rPr>
            <w:rFonts w:ascii="Constantia" w:hAnsi="Constantia"/>
            <w:noProof/>
            <w:sz w:val="24"/>
          </w:rPr>
          <w:t>6</w:t>
        </w:r>
        <w:r w:rsidRPr="004B003B">
          <w:rPr>
            <w:rFonts w:ascii="Constantia" w:hAnsi="Constantia"/>
            <w:sz w:val="24"/>
          </w:rPr>
          <w:fldChar w:fldCharType="end"/>
        </w:r>
      </w:p>
    </w:sdtContent>
  </w:sdt>
  <w:p w:rsidR="00A9096E" w:rsidRPr="0000222F" w:rsidRDefault="00A9096E">
    <w:pPr>
      <w:pStyle w:val="Pieddepage"/>
      <w:rPr>
        <w:rFonts w:ascii="Constantia" w:hAnsi="Constantia"/>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96E" w:rsidRDefault="00A9096E" w:rsidP="0000222F">
      <w:pPr>
        <w:spacing w:after="0" w:line="240" w:lineRule="auto"/>
      </w:pPr>
      <w:r>
        <w:separator/>
      </w:r>
    </w:p>
  </w:footnote>
  <w:footnote w:type="continuationSeparator" w:id="0">
    <w:p w:rsidR="00A9096E" w:rsidRDefault="00A9096E" w:rsidP="00002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96E" w:rsidRDefault="00A9096E">
    <w:pPr>
      <w:spacing w:line="264" w:lineRule="auto"/>
    </w:pPr>
    <w:r>
      <w:rPr>
        <w:noProof/>
        <w:color w:val="000000"/>
        <w:lang w:eastAsia="fr-FR"/>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576FD3A"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sdt>
      <w:sdtPr>
        <w:rPr>
          <w:rFonts w:ascii="Constantia" w:hAnsi="Constantia"/>
          <w:color w:val="000000" w:themeColor="text1"/>
          <w:sz w:val="20"/>
          <w:szCs w:val="20"/>
        </w:rPr>
        <w:alias w:val="Titre"/>
        <w:id w:val="15524250"/>
        <w:placeholder>
          <w:docPart w:val="1F140EDFA42749DCA90E4D7A91410D16"/>
        </w:placeholder>
        <w:dataBinding w:prefixMappings="xmlns:ns0='http://schemas.openxmlformats.org/package/2006/metadata/core-properties' xmlns:ns1='http://purl.org/dc/elements/1.1/'" w:xpath="/ns0:coreProperties[1]/ns1:title[1]" w:storeItemID="{6C3C8BC8-F283-45AE-878A-BAB7291924A1}"/>
        <w:text/>
      </w:sdtPr>
      <w:sdtEndPr/>
      <w:sdtContent>
        <w:r w:rsidR="00BD53C0">
          <w:rPr>
            <w:rFonts w:ascii="Constantia" w:hAnsi="Constantia"/>
            <w:color w:val="000000" w:themeColor="text1"/>
            <w:sz w:val="20"/>
            <w:szCs w:val="20"/>
          </w:rPr>
          <w:t>Note de version Alma – Novembre 2018</w:t>
        </w:r>
      </w:sdtContent>
    </w:sdt>
  </w:p>
  <w:p w:rsidR="00A9096E" w:rsidRDefault="00A9096E">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2D1B"/>
    <w:multiLevelType w:val="hybridMultilevel"/>
    <w:tmpl w:val="292A89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C70EF7"/>
    <w:multiLevelType w:val="hybridMultilevel"/>
    <w:tmpl w:val="99B64E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52734F"/>
    <w:multiLevelType w:val="hybridMultilevel"/>
    <w:tmpl w:val="BBF40A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3C03D1"/>
    <w:multiLevelType w:val="hybridMultilevel"/>
    <w:tmpl w:val="244612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83151E6"/>
    <w:multiLevelType w:val="hybridMultilevel"/>
    <w:tmpl w:val="7780C4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AC1366"/>
    <w:multiLevelType w:val="hybridMultilevel"/>
    <w:tmpl w:val="AD866C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2F7ED1"/>
    <w:multiLevelType w:val="hybridMultilevel"/>
    <w:tmpl w:val="02A257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696C7E"/>
    <w:multiLevelType w:val="hybridMultilevel"/>
    <w:tmpl w:val="CFE28F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816141C"/>
    <w:multiLevelType w:val="hybridMultilevel"/>
    <w:tmpl w:val="7A8482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6570B1"/>
    <w:multiLevelType w:val="hybridMultilevel"/>
    <w:tmpl w:val="E66C41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8E64893"/>
    <w:multiLevelType w:val="hybridMultilevel"/>
    <w:tmpl w:val="0C1A84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1D86396"/>
    <w:multiLevelType w:val="hybridMultilevel"/>
    <w:tmpl w:val="89609D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21B7523"/>
    <w:multiLevelType w:val="hybridMultilevel"/>
    <w:tmpl w:val="04B84788"/>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3" w15:restartNumberingAfterBreak="0">
    <w:nsid w:val="3268736E"/>
    <w:multiLevelType w:val="hybridMultilevel"/>
    <w:tmpl w:val="4D52B2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2744ACE"/>
    <w:multiLevelType w:val="hybridMultilevel"/>
    <w:tmpl w:val="FABCAD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7416FC6"/>
    <w:multiLevelType w:val="hybridMultilevel"/>
    <w:tmpl w:val="37367A2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B73784F"/>
    <w:multiLevelType w:val="hybridMultilevel"/>
    <w:tmpl w:val="BCACBE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2E17107"/>
    <w:multiLevelType w:val="hybridMultilevel"/>
    <w:tmpl w:val="B98E25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98379CB"/>
    <w:multiLevelType w:val="hybridMultilevel"/>
    <w:tmpl w:val="47F4B9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8323EBC"/>
    <w:multiLevelType w:val="hybridMultilevel"/>
    <w:tmpl w:val="D1F2E1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BA16976"/>
    <w:multiLevelType w:val="hybridMultilevel"/>
    <w:tmpl w:val="579426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266328E"/>
    <w:multiLevelType w:val="hybridMultilevel"/>
    <w:tmpl w:val="6F28F0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CEE3B93"/>
    <w:multiLevelType w:val="hybridMultilevel"/>
    <w:tmpl w:val="85BCFB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53D6FA8"/>
    <w:multiLevelType w:val="hybridMultilevel"/>
    <w:tmpl w:val="95E2A9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7095D1A"/>
    <w:multiLevelType w:val="hybridMultilevel"/>
    <w:tmpl w:val="1078280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7E0166B"/>
    <w:multiLevelType w:val="hybridMultilevel"/>
    <w:tmpl w:val="6486DA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8633771"/>
    <w:multiLevelType w:val="hybridMultilevel"/>
    <w:tmpl w:val="3182C3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D6D0C70"/>
    <w:multiLevelType w:val="hybridMultilevel"/>
    <w:tmpl w:val="8C16C2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D8A7007"/>
    <w:multiLevelType w:val="hybridMultilevel"/>
    <w:tmpl w:val="144887D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EAA214C"/>
    <w:multiLevelType w:val="hybridMultilevel"/>
    <w:tmpl w:val="0B6CA3A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num w:numId="1">
    <w:abstractNumId w:val="2"/>
  </w:num>
  <w:num w:numId="2">
    <w:abstractNumId w:val="25"/>
  </w:num>
  <w:num w:numId="3">
    <w:abstractNumId w:val="22"/>
  </w:num>
  <w:num w:numId="4">
    <w:abstractNumId w:val="13"/>
  </w:num>
  <w:num w:numId="5">
    <w:abstractNumId w:val="23"/>
  </w:num>
  <w:num w:numId="6">
    <w:abstractNumId w:val="20"/>
  </w:num>
  <w:num w:numId="7">
    <w:abstractNumId w:val="14"/>
  </w:num>
  <w:num w:numId="8">
    <w:abstractNumId w:val="16"/>
  </w:num>
  <w:num w:numId="9">
    <w:abstractNumId w:val="7"/>
  </w:num>
  <w:num w:numId="10">
    <w:abstractNumId w:val="28"/>
  </w:num>
  <w:num w:numId="11">
    <w:abstractNumId w:val="15"/>
  </w:num>
  <w:num w:numId="12">
    <w:abstractNumId w:val="24"/>
  </w:num>
  <w:num w:numId="13">
    <w:abstractNumId w:val="6"/>
  </w:num>
  <w:num w:numId="14">
    <w:abstractNumId w:val="18"/>
  </w:num>
  <w:num w:numId="15">
    <w:abstractNumId w:val="11"/>
  </w:num>
  <w:num w:numId="16">
    <w:abstractNumId w:val="17"/>
  </w:num>
  <w:num w:numId="17">
    <w:abstractNumId w:val="26"/>
  </w:num>
  <w:num w:numId="18">
    <w:abstractNumId w:val="12"/>
  </w:num>
  <w:num w:numId="19">
    <w:abstractNumId w:val="21"/>
  </w:num>
  <w:num w:numId="20">
    <w:abstractNumId w:val="29"/>
  </w:num>
  <w:num w:numId="21">
    <w:abstractNumId w:val="19"/>
  </w:num>
  <w:num w:numId="22">
    <w:abstractNumId w:val="27"/>
  </w:num>
  <w:num w:numId="23">
    <w:abstractNumId w:val="3"/>
  </w:num>
  <w:num w:numId="24">
    <w:abstractNumId w:val="9"/>
  </w:num>
  <w:num w:numId="25">
    <w:abstractNumId w:val="1"/>
  </w:num>
  <w:num w:numId="26">
    <w:abstractNumId w:val="4"/>
  </w:num>
  <w:num w:numId="27">
    <w:abstractNumId w:val="0"/>
  </w:num>
  <w:num w:numId="28">
    <w:abstractNumId w:val="5"/>
  </w:num>
  <w:num w:numId="29">
    <w:abstractNumId w:val="10"/>
  </w:num>
  <w:num w:numId="30">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2B4"/>
    <w:rsid w:val="0000222F"/>
    <w:rsid w:val="00024F2F"/>
    <w:rsid w:val="00025E7E"/>
    <w:rsid w:val="00036CBD"/>
    <w:rsid w:val="00041564"/>
    <w:rsid w:val="000736F5"/>
    <w:rsid w:val="000C59D6"/>
    <w:rsid w:val="000D3C15"/>
    <w:rsid w:val="000D6D4E"/>
    <w:rsid w:val="000F747B"/>
    <w:rsid w:val="0010457B"/>
    <w:rsid w:val="00105490"/>
    <w:rsid w:val="00111459"/>
    <w:rsid w:val="00117E9B"/>
    <w:rsid w:val="001650B2"/>
    <w:rsid w:val="00172A1B"/>
    <w:rsid w:val="001E03D0"/>
    <w:rsid w:val="001E3A89"/>
    <w:rsid w:val="001F1BC0"/>
    <w:rsid w:val="0020526F"/>
    <w:rsid w:val="00214FC2"/>
    <w:rsid w:val="00261FDF"/>
    <w:rsid w:val="00270474"/>
    <w:rsid w:val="00274673"/>
    <w:rsid w:val="00285875"/>
    <w:rsid w:val="0029509B"/>
    <w:rsid w:val="002A70D3"/>
    <w:rsid w:val="002C4D55"/>
    <w:rsid w:val="002F1327"/>
    <w:rsid w:val="00321A9A"/>
    <w:rsid w:val="003224A7"/>
    <w:rsid w:val="0032429A"/>
    <w:rsid w:val="003251D8"/>
    <w:rsid w:val="00326913"/>
    <w:rsid w:val="003474A7"/>
    <w:rsid w:val="00364FCC"/>
    <w:rsid w:val="003A762F"/>
    <w:rsid w:val="003D3BED"/>
    <w:rsid w:val="003E38D0"/>
    <w:rsid w:val="003F402B"/>
    <w:rsid w:val="00415DFF"/>
    <w:rsid w:val="004206D0"/>
    <w:rsid w:val="00443F9F"/>
    <w:rsid w:val="0045797F"/>
    <w:rsid w:val="004673BE"/>
    <w:rsid w:val="004679EA"/>
    <w:rsid w:val="0047260A"/>
    <w:rsid w:val="00474B3A"/>
    <w:rsid w:val="0048554F"/>
    <w:rsid w:val="00486028"/>
    <w:rsid w:val="00486537"/>
    <w:rsid w:val="00491A58"/>
    <w:rsid w:val="00494A30"/>
    <w:rsid w:val="004A67C3"/>
    <w:rsid w:val="004B003B"/>
    <w:rsid w:val="004B5E2C"/>
    <w:rsid w:val="004D0282"/>
    <w:rsid w:val="004E50F5"/>
    <w:rsid w:val="005007A3"/>
    <w:rsid w:val="005214E6"/>
    <w:rsid w:val="00524A5D"/>
    <w:rsid w:val="00535A67"/>
    <w:rsid w:val="005370F4"/>
    <w:rsid w:val="00550E1E"/>
    <w:rsid w:val="0055368B"/>
    <w:rsid w:val="005656F2"/>
    <w:rsid w:val="005772B3"/>
    <w:rsid w:val="00583BDD"/>
    <w:rsid w:val="00585D27"/>
    <w:rsid w:val="005A408F"/>
    <w:rsid w:val="005A4119"/>
    <w:rsid w:val="005C0361"/>
    <w:rsid w:val="005D2440"/>
    <w:rsid w:val="005E08E8"/>
    <w:rsid w:val="006148A9"/>
    <w:rsid w:val="00636B65"/>
    <w:rsid w:val="00640F75"/>
    <w:rsid w:val="00657179"/>
    <w:rsid w:val="00695988"/>
    <w:rsid w:val="006B3C74"/>
    <w:rsid w:val="006B7860"/>
    <w:rsid w:val="006C5B78"/>
    <w:rsid w:val="006D416A"/>
    <w:rsid w:val="006F79D3"/>
    <w:rsid w:val="00707575"/>
    <w:rsid w:val="00721FB1"/>
    <w:rsid w:val="00737F51"/>
    <w:rsid w:val="007423BA"/>
    <w:rsid w:val="00744D74"/>
    <w:rsid w:val="00763E4A"/>
    <w:rsid w:val="00784A00"/>
    <w:rsid w:val="00791893"/>
    <w:rsid w:val="007A586E"/>
    <w:rsid w:val="007A5C14"/>
    <w:rsid w:val="007B4945"/>
    <w:rsid w:val="007C474D"/>
    <w:rsid w:val="007E723C"/>
    <w:rsid w:val="007F1B48"/>
    <w:rsid w:val="00802C71"/>
    <w:rsid w:val="00805200"/>
    <w:rsid w:val="0082353A"/>
    <w:rsid w:val="00830066"/>
    <w:rsid w:val="0083132C"/>
    <w:rsid w:val="00854DA3"/>
    <w:rsid w:val="00892E14"/>
    <w:rsid w:val="00894A43"/>
    <w:rsid w:val="008A04F6"/>
    <w:rsid w:val="008B2251"/>
    <w:rsid w:val="008B4BE1"/>
    <w:rsid w:val="008B5D6E"/>
    <w:rsid w:val="008B6CE6"/>
    <w:rsid w:val="008C63D9"/>
    <w:rsid w:val="008D669B"/>
    <w:rsid w:val="0094099C"/>
    <w:rsid w:val="00957BB2"/>
    <w:rsid w:val="00976C63"/>
    <w:rsid w:val="00984A2A"/>
    <w:rsid w:val="009868D5"/>
    <w:rsid w:val="0099021A"/>
    <w:rsid w:val="009922B4"/>
    <w:rsid w:val="00997C68"/>
    <w:rsid w:val="009B26B5"/>
    <w:rsid w:val="009C0F47"/>
    <w:rsid w:val="009C2364"/>
    <w:rsid w:val="009D1495"/>
    <w:rsid w:val="009D56DD"/>
    <w:rsid w:val="009D7D87"/>
    <w:rsid w:val="00A032F5"/>
    <w:rsid w:val="00A30750"/>
    <w:rsid w:val="00A616A7"/>
    <w:rsid w:val="00A75AC2"/>
    <w:rsid w:val="00A77C5E"/>
    <w:rsid w:val="00A830B5"/>
    <w:rsid w:val="00A9096E"/>
    <w:rsid w:val="00AA2219"/>
    <w:rsid w:val="00AA52A5"/>
    <w:rsid w:val="00AD0E4D"/>
    <w:rsid w:val="00AF0106"/>
    <w:rsid w:val="00AF1418"/>
    <w:rsid w:val="00B202CE"/>
    <w:rsid w:val="00B22555"/>
    <w:rsid w:val="00B43534"/>
    <w:rsid w:val="00B45BD6"/>
    <w:rsid w:val="00B7042F"/>
    <w:rsid w:val="00B733AC"/>
    <w:rsid w:val="00B9082F"/>
    <w:rsid w:val="00BB4679"/>
    <w:rsid w:val="00BD096F"/>
    <w:rsid w:val="00BD4AD5"/>
    <w:rsid w:val="00BD53C0"/>
    <w:rsid w:val="00BF425D"/>
    <w:rsid w:val="00BF4759"/>
    <w:rsid w:val="00BF5A00"/>
    <w:rsid w:val="00C06A60"/>
    <w:rsid w:val="00C07835"/>
    <w:rsid w:val="00C357BA"/>
    <w:rsid w:val="00C441E8"/>
    <w:rsid w:val="00C54E4F"/>
    <w:rsid w:val="00C632B8"/>
    <w:rsid w:val="00C65FCD"/>
    <w:rsid w:val="00C7078F"/>
    <w:rsid w:val="00C96FF6"/>
    <w:rsid w:val="00CA085C"/>
    <w:rsid w:val="00CA19C1"/>
    <w:rsid w:val="00CB7EB4"/>
    <w:rsid w:val="00CC11CF"/>
    <w:rsid w:val="00CD1F44"/>
    <w:rsid w:val="00CF1D7F"/>
    <w:rsid w:val="00D24698"/>
    <w:rsid w:val="00D25941"/>
    <w:rsid w:val="00D34BC5"/>
    <w:rsid w:val="00D4164C"/>
    <w:rsid w:val="00D426EA"/>
    <w:rsid w:val="00D50A0E"/>
    <w:rsid w:val="00D50E3E"/>
    <w:rsid w:val="00D70AEC"/>
    <w:rsid w:val="00D74046"/>
    <w:rsid w:val="00D75DC5"/>
    <w:rsid w:val="00DA5EAF"/>
    <w:rsid w:val="00DB7EF8"/>
    <w:rsid w:val="00DC1426"/>
    <w:rsid w:val="00DD1B82"/>
    <w:rsid w:val="00E0351C"/>
    <w:rsid w:val="00E07DCD"/>
    <w:rsid w:val="00E10427"/>
    <w:rsid w:val="00E122BD"/>
    <w:rsid w:val="00E171FB"/>
    <w:rsid w:val="00E26911"/>
    <w:rsid w:val="00E53580"/>
    <w:rsid w:val="00E538CA"/>
    <w:rsid w:val="00E5653F"/>
    <w:rsid w:val="00E73D26"/>
    <w:rsid w:val="00E93B8F"/>
    <w:rsid w:val="00EA6047"/>
    <w:rsid w:val="00EA6656"/>
    <w:rsid w:val="00EA7543"/>
    <w:rsid w:val="00EB4EBC"/>
    <w:rsid w:val="00EC0880"/>
    <w:rsid w:val="00EC6CA5"/>
    <w:rsid w:val="00EE16BA"/>
    <w:rsid w:val="00EE6D01"/>
    <w:rsid w:val="00F106C0"/>
    <w:rsid w:val="00F14E5C"/>
    <w:rsid w:val="00F22251"/>
    <w:rsid w:val="00F25316"/>
    <w:rsid w:val="00F2661B"/>
    <w:rsid w:val="00F35C24"/>
    <w:rsid w:val="00F3668E"/>
    <w:rsid w:val="00F640D9"/>
    <w:rsid w:val="00F670DA"/>
    <w:rsid w:val="00F76866"/>
    <w:rsid w:val="00F837A5"/>
    <w:rsid w:val="00FB391E"/>
    <w:rsid w:val="00FC2455"/>
    <w:rsid w:val="00FC3200"/>
    <w:rsid w:val="00FC7650"/>
    <w:rsid w:val="00FD5AC0"/>
    <w:rsid w:val="00FD7437"/>
    <w:rsid w:val="00FF5E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0600FBE"/>
  <w15:chartTrackingRefBased/>
  <w15:docId w15:val="{2DCA8C80-498C-41C0-9ECA-01847C871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BDD"/>
  </w:style>
  <w:style w:type="paragraph" w:styleId="Titre1">
    <w:name w:val="heading 1"/>
    <w:basedOn w:val="Normal"/>
    <w:next w:val="Normal"/>
    <w:link w:val="Titre1Car"/>
    <w:uiPriority w:val="9"/>
    <w:qFormat/>
    <w:rsid w:val="009922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9922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C54E4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CA085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unhideWhenUsed/>
    <w:qFormat/>
    <w:rsid w:val="007A5C1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922B4"/>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9922B4"/>
    <w:rPr>
      <w:rFonts w:asciiTheme="majorHAnsi" w:eastAsiaTheme="majorEastAsia" w:hAnsiTheme="majorHAnsi" w:cstheme="majorBidi"/>
      <w:color w:val="2E74B5" w:themeColor="accent1" w:themeShade="BF"/>
      <w:sz w:val="26"/>
      <w:szCs w:val="26"/>
    </w:rPr>
  </w:style>
  <w:style w:type="paragraph" w:styleId="Paragraphedeliste">
    <w:name w:val="List Paragraph"/>
    <w:basedOn w:val="Normal"/>
    <w:uiPriority w:val="34"/>
    <w:qFormat/>
    <w:rsid w:val="00E122BD"/>
    <w:pPr>
      <w:ind w:left="720"/>
      <w:contextualSpacing/>
    </w:pPr>
  </w:style>
  <w:style w:type="character" w:customStyle="1" w:styleId="Titre3Car">
    <w:name w:val="Titre 3 Car"/>
    <w:basedOn w:val="Policepardfaut"/>
    <w:link w:val="Titre3"/>
    <w:uiPriority w:val="9"/>
    <w:rsid w:val="00C54E4F"/>
    <w:rPr>
      <w:rFonts w:asciiTheme="majorHAnsi" w:eastAsiaTheme="majorEastAsia" w:hAnsiTheme="majorHAnsi" w:cstheme="majorBidi"/>
      <w:color w:val="1F4D78" w:themeColor="accent1" w:themeShade="7F"/>
      <w:sz w:val="24"/>
      <w:szCs w:val="24"/>
    </w:rPr>
  </w:style>
  <w:style w:type="paragraph" w:styleId="En-tte">
    <w:name w:val="header"/>
    <w:basedOn w:val="Normal"/>
    <w:link w:val="En-tteCar"/>
    <w:uiPriority w:val="99"/>
    <w:unhideWhenUsed/>
    <w:rsid w:val="0000222F"/>
    <w:pPr>
      <w:tabs>
        <w:tab w:val="center" w:pos="4536"/>
        <w:tab w:val="right" w:pos="9072"/>
      </w:tabs>
      <w:spacing w:after="0" w:line="240" w:lineRule="auto"/>
    </w:pPr>
  </w:style>
  <w:style w:type="character" w:customStyle="1" w:styleId="En-tteCar">
    <w:name w:val="En-tête Car"/>
    <w:basedOn w:val="Policepardfaut"/>
    <w:link w:val="En-tte"/>
    <w:uiPriority w:val="99"/>
    <w:rsid w:val="0000222F"/>
  </w:style>
  <w:style w:type="paragraph" w:styleId="Pieddepage">
    <w:name w:val="footer"/>
    <w:basedOn w:val="Normal"/>
    <w:link w:val="PieddepageCar"/>
    <w:uiPriority w:val="99"/>
    <w:unhideWhenUsed/>
    <w:rsid w:val="0000222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222F"/>
  </w:style>
  <w:style w:type="paragraph" w:styleId="Titre">
    <w:name w:val="Title"/>
    <w:basedOn w:val="Normal"/>
    <w:next w:val="Normal"/>
    <w:link w:val="TitreCar"/>
    <w:uiPriority w:val="10"/>
    <w:qFormat/>
    <w:rsid w:val="000022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0222F"/>
    <w:rPr>
      <w:rFonts w:asciiTheme="majorHAnsi" w:eastAsiaTheme="majorEastAsia" w:hAnsiTheme="majorHAnsi" w:cstheme="majorBidi"/>
      <w:spacing w:val="-10"/>
      <w:kern w:val="28"/>
      <w:sz w:val="56"/>
      <w:szCs w:val="56"/>
    </w:rPr>
  </w:style>
  <w:style w:type="paragraph" w:styleId="Citationintense">
    <w:name w:val="Intense Quote"/>
    <w:basedOn w:val="Normal"/>
    <w:next w:val="Normal"/>
    <w:link w:val="CitationintenseCar"/>
    <w:uiPriority w:val="30"/>
    <w:qFormat/>
    <w:rsid w:val="0000222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00222F"/>
    <w:rPr>
      <w:i/>
      <w:iCs/>
      <w:color w:val="5B9BD5" w:themeColor="accent1"/>
    </w:rPr>
  </w:style>
  <w:style w:type="character" w:styleId="Emphaseple">
    <w:name w:val="Subtle Emphasis"/>
    <w:basedOn w:val="Policepardfaut"/>
    <w:uiPriority w:val="19"/>
    <w:qFormat/>
    <w:rsid w:val="0000222F"/>
    <w:rPr>
      <w:i/>
      <w:iCs/>
      <w:color w:val="404040" w:themeColor="text1" w:themeTint="BF"/>
    </w:rPr>
  </w:style>
  <w:style w:type="table" w:styleId="Grilledutableau">
    <w:name w:val="Table Grid"/>
    <w:basedOn w:val="TableauNormal"/>
    <w:uiPriority w:val="39"/>
    <w:rsid w:val="00285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96FF6"/>
    <w:rPr>
      <w:color w:val="0563C1" w:themeColor="hyperlink"/>
      <w:u w:val="single"/>
    </w:rPr>
  </w:style>
  <w:style w:type="character" w:customStyle="1" w:styleId="Mentionnonrsolue1">
    <w:name w:val="Mention non résolue1"/>
    <w:basedOn w:val="Policepardfaut"/>
    <w:uiPriority w:val="99"/>
    <w:semiHidden/>
    <w:unhideWhenUsed/>
    <w:rsid w:val="003224A7"/>
    <w:rPr>
      <w:color w:val="808080"/>
      <w:shd w:val="clear" w:color="auto" w:fill="E6E6E6"/>
    </w:rPr>
  </w:style>
  <w:style w:type="character" w:customStyle="1" w:styleId="Titre4Car">
    <w:name w:val="Titre 4 Car"/>
    <w:basedOn w:val="Policepardfaut"/>
    <w:link w:val="Titre4"/>
    <w:uiPriority w:val="9"/>
    <w:rsid w:val="00CA085C"/>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rsid w:val="007A5C14"/>
    <w:rPr>
      <w:rFonts w:asciiTheme="majorHAnsi" w:eastAsiaTheme="majorEastAsia" w:hAnsiTheme="majorHAnsi" w:cstheme="majorBidi"/>
      <w:color w:val="2E74B5" w:themeColor="accent1" w:themeShade="BF"/>
    </w:rPr>
  </w:style>
  <w:style w:type="paragraph" w:styleId="Notedebasdepage">
    <w:name w:val="footnote text"/>
    <w:basedOn w:val="Normal"/>
    <w:link w:val="NotedebasdepageCar"/>
    <w:uiPriority w:val="99"/>
    <w:semiHidden/>
    <w:unhideWhenUsed/>
    <w:rsid w:val="003A762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A762F"/>
    <w:rPr>
      <w:sz w:val="20"/>
      <w:szCs w:val="20"/>
    </w:rPr>
  </w:style>
  <w:style w:type="character" w:styleId="Appelnotedebasdep">
    <w:name w:val="footnote reference"/>
    <w:basedOn w:val="Policepardfaut"/>
    <w:uiPriority w:val="99"/>
    <w:semiHidden/>
    <w:unhideWhenUsed/>
    <w:rsid w:val="003A76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nowledge.exlibrisgroup.com/Alma/Release_Notes/010_2018/Alma_2018_Release_Notes?mon=201811BASE"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F140EDFA42749DCA90E4D7A91410D16"/>
        <w:category>
          <w:name w:val="Général"/>
          <w:gallery w:val="placeholder"/>
        </w:category>
        <w:types>
          <w:type w:val="bbPlcHdr"/>
        </w:types>
        <w:behaviors>
          <w:behavior w:val="content"/>
        </w:behaviors>
        <w:guid w:val="{04CA7C54-56E8-423A-BD2E-5E39C7B3D838}"/>
      </w:docPartPr>
      <w:docPartBody>
        <w:p w:rsidR="006E63FF" w:rsidRDefault="006E63FF" w:rsidP="006E63FF">
          <w:pPr>
            <w:pStyle w:val="1F140EDFA42749DCA90E4D7A91410D16"/>
          </w:pPr>
          <w:r>
            <w:rPr>
              <w:color w:val="5B9BD5" w:themeColor="accent1"/>
              <w:sz w:val="20"/>
              <w:szCs w:val="20"/>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504020202030204"/>
    <w:charset w:val="00"/>
    <w:family w:val="swiss"/>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3FF"/>
    <w:rsid w:val="00253EAA"/>
    <w:rsid w:val="006E63FF"/>
    <w:rsid w:val="006E761A"/>
    <w:rsid w:val="00B20AE5"/>
    <w:rsid w:val="00E22BFD"/>
    <w:rsid w:val="00F040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645C7CAF90648A9B5CE41C5832E3BAA">
    <w:name w:val="A645C7CAF90648A9B5CE41C5832E3BAA"/>
    <w:rsid w:val="006E63FF"/>
  </w:style>
  <w:style w:type="paragraph" w:customStyle="1" w:styleId="1F140EDFA42749DCA90E4D7A91410D16">
    <w:name w:val="1F140EDFA42749DCA90E4D7A91410D16"/>
    <w:rsid w:val="006E63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03A18-2A4C-4E17-937F-214B8391F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1368</Words>
  <Characters>7526</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Note de version Alma – Novembre 2018</vt:lpstr>
    </vt:vector>
  </TitlesOfParts>
  <Company>Microsoft</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de version Alma – Novembre 2018</dc:title>
  <dc:subject/>
  <dc:creator>Loïc Ducasse</dc:creator>
  <cp:keywords/>
  <dc:description/>
  <cp:lastModifiedBy>Séverine Dabernat</cp:lastModifiedBy>
  <cp:revision>3</cp:revision>
  <dcterms:created xsi:type="dcterms:W3CDTF">2018-10-26T08:12:00Z</dcterms:created>
  <dcterms:modified xsi:type="dcterms:W3CDTF">2018-10-30T11:19:00Z</dcterms:modified>
</cp:coreProperties>
</file>