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7E32A" w14:textId="23B5E060" w:rsidR="00D50587" w:rsidRDefault="00117E9B" w:rsidP="000D4DE4">
      <w:pPr>
        <w:pStyle w:val="Citationintense"/>
        <w:jc w:val="both"/>
        <w:rPr>
          <w:rStyle w:val="Accentuationlgre"/>
          <w:b/>
          <w:sz w:val="56"/>
        </w:rPr>
      </w:pPr>
      <w:bookmarkStart w:id="0" w:name="_Hlk37953237"/>
      <w:r>
        <w:rPr>
          <w:rStyle w:val="Accentuationlgre"/>
          <w:b/>
          <w:sz w:val="56"/>
        </w:rPr>
        <w:t>Note de version Alma –</w:t>
      </w:r>
    </w:p>
    <w:p w14:paraId="08EA3FC0" w14:textId="51A11E99" w:rsidR="004B003B" w:rsidRPr="00C23A11" w:rsidRDefault="00B65006" w:rsidP="000D4DE4">
      <w:pPr>
        <w:pStyle w:val="Citationintense"/>
        <w:jc w:val="both"/>
        <w:rPr>
          <w:b/>
          <w:i w:val="0"/>
          <w:iCs w:val="0"/>
          <w:color w:val="404040" w:themeColor="text1" w:themeTint="BF"/>
          <w:sz w:val="56"/>
        </w:rPr>
      </w:pPr>
      <w:r>
        <w:rPr>
          <w:rStyle w:val="Accentuationlgre"/>
          <w:b/>
          <w:sz w:val="56"/>
        </w:rPr>
        <w:t>Mai</w:t>
      </w:r>
      <w:r w:rsidR="00BC46AB">
        <w:rPr>
          <w:rStyle w:val="Accentuationlgre"/>
          <w:b/>
          <w:sz w:val="56"/>
        </w:rPr>
        <w:t xml:space="preserve"> 2026</w:t>
      </w:r>
    </w:p>
    <w:p w14:paraId="2829D917" w14:textId="7D6179DE" w:rsidR="00D065E8" w:rsidRDefault="009868D5" w:rsidP="000D4DE4">
      <w:pPr>
        <w:jc w:val="both"/>
      </w:pPr>
      <w:r w:rsidRPr="00E93A6F">
        <w:rPr>
          <w:rFonts w:cstheme="minorHAnsi"/>
        </w:rPr>
        <w:t>Source :</w:t>
      </w:r>
      <w:bookmarkStart w:id="1" w:name="_Hlk37951315"/>
      <w:r w:rsidR="00A23B75" w:rsidRPr="00E93A6F">
        <w:rPr>
          <w:rFonts w:ascii="Helvetica" w:hAnsi="Helvetica" w:cs="Helvetica"/>
        </w:rPr>
        <w:t xml:space="preserve"> </w:t>
      </w:r>
      <w:hyperlink r:id="rId8" w:history="1">
        <w:r w:rsidR="00BD5973" w:rsidRPr="004D2906">
          <w:rPr>
            <w:rStyle w:val="Lienhypertexte"/>
          </w:rPr>
          <w:t>https://knowledge.exlibrisgroup.com/Alma/Release_Notes/2026/Alma_2026_Release_Notes?mon=202605BASE</w:t>
        </w:r>
      </w:hyperlink>
    </w:p>
    <w:p w14:paraId="73229755" w14:textId="77777777" w:rsidR="00663B47" w:rsidRDefault="00663B47" w:rsidP="000D4DE4">
      <w:pPr>
        <w:jc w:val="both"/>
        <w:rPr>
          <w:rStyle w:val="Lienhypertexte"/>
          <w:color w:val="auto"/>
          <w:u w:val="none"/>
        </w:rPr>
      </w:pPr>
    </w:p>
    <w:sdt>
      <w:sdtPr>
        <w:rPr>
          <w:rFonts w:asciiTheme="minorHAnsi" w:eastAsiaTheme="minorHAnsi" w:hAnsiTheme="minorHAnsi" w:cstheme="minorBidi"/>
          <w:color w:val="0563C1" w:themeColor="hyperlink"/>
          <w:sz w:val="22"/>
          <w:szCs w:val="22"/>
          <w:u w:val="single"/>
          <w:lang w:eastAsia="en-US"/>
        </w:rPr>
        <w:id w:val="842659477"/>
        <w:docPartObj>
          <w:docPartGallery w:val="Table of Contents"/>
          <w:docPartUnique/>
        </w:docPartObj>
      </w:sdtPr>
      <w:sdtEndPr>
        <w:rPr>
          <w:b/>
          <w:bCs/>
          <w:color w:val="auto"/>
          <w:u w:val="none"/>
        </w:rPr>
      </w:sdtEndPr>
      <w:sdtContent>
        <w:p w14:paraId="57263629" w14:textId="45F62A07" w:rsidR="005E44C1" w:rsidRDefault="005E44C1" w:rsidP="000D4DE4">
          <w:pPr>
            <w:pStyle w:val="En-ttedetabledesmatires"/>
            <w:jc w:val="both"/>
          </w:pPr>
          <w:r>
            <w:t>Table des matières</w:t>
          </w:r>
        </w:p>
        <w:p w14:paraId="44CC7A29" w14:textId="3DAA2AB3" w:rsidR="00034D6E" w:rsidRDefault="005E44C1">
          <w:pPr>
            <w:pStyle w:val="TM1"/>
            <w:tabs>
              <w:tab w:val="right" w:leader="dot" w:pos="9062"/>
            </w:tabs>
            <w:rPr>
              <w:rFonts w:eastAsiaTheme="minorEastAsia"/>
              <w:noProof/>
              <w:kern w:val="2"/>
              <w:sz w:val="24"/>
              <w:szCs w:val="24"/>
              <w:lang w:eastAsia="fr-FR"/>
              <w14:ligatures w14:val="standardContextual"/>
            </w:rPr>
          </w:pPr>
          <w:r>
            <w:fldChar w:fldCharType="begin"/>
          </w:r>
          <w:r>
            <w:instrText xml:space="preserve"> TOC \o "1-3" \h \z \u </w:instrText>
          </w:r>
          <w:r>
            <w:fldChar w:fldCharType="separate"/>
          </w:r>
          <w:hyperlink w:anchor="_Toc228780870" w:history="1">
            <w:r w:rsidR="00034D6E" w:rsidRPr="00882152">
              <w:rPr>
                <w:rStyle w:val="Lienhypertexte"/>
                <w:noProof/>
              </w:rPr>
              <w:t>Administration</w:t>
            </w:r>
            <w:r w:rsidR="00034D6E">
              <w:rPr>
                <w:noProof/>
                <w:webHidden/>
              </w:rPr>
              <w:tab/>
            </w:r>
            <w:r w:rsidR="00034D6E">
              <w:rPr>
                <w:noProof/>
                <w:webHidden/>
              </w:rPr>
              <w:fldChar w:fldCharType="begin"/>
            </w:r>
            <w:r w:rsidR="00034D6E">
              <w:rPr>
                <w:noProof/>
                <w:webHidden/>
              </w:rPr>
              <w:instrText xml:space="preserve"> PAGEREF _Toc228780870 \h </w:instrText>
            </w:r>
            <w:r w:rsidR="00034D6E">
              <w:rPr>
                <w:noProof/>
                <w:webHidden/>
              </w:rPr>
            </w:r>
            <w:r w:rsidR="00034D6E">
              <w:rPr>
                <w:noProof/>
                <w:webHidden/>
              </w:rPr>
              <w:fldChar w:fldCharType="separate"/>
            </w:r>
            <w:r w:rsidR="00034D6E">
              <w:rPr>
                <w:noProof/>
                <w:webHidden/>
              </w:rPr>
              <w:t>2</w:t>
            </w:r>
            <w:r w:rsidR="00034D6E">
              <w:rPr>
                <w:noProof/>
                <w:webHidden/>
              </w:rPr>
              <w:fldChar w:fldCharType="end"/>
            </w:r>
          </w:hyperlink>
        </w:p>
        <w:p w14:paraId="737762F0" w14:textId="3D21534E"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71" w:history="1">
            <w:r w:rsidRPr="00882152">
              <w:rPr>
                <w:rStyle w:val="Lienhypertexte"/>
                <w:noProof/>
              </w:rPr>
              <w:t>Amélioration des facettes accessibles depuis une liste de résultats de type « holdings physiques» et «exemplaires physiques»</w:t>
            </w:r>
            <w:r>
              <w:rPr>
                <w:noProof/>
                <w:webHidden/>
              </w:rPr>
              <w:tab/>
            </w:r>
            <w:r>
              <w:rPr>
                <w:noProof/>
                <w:webHidden/>
              </w:rPr>
              <w:fldChar w:fldCharType="begin"/>
            </w:r>
            <w:r>
              <w:rPr>
                <w:noProof/>
                <w:webHidden/>
              </w:rPr>
              <w:instrText xml:space="preserve"> PAGEREF _Toc228780871 \h </w:instrText>
            </w:r>
            <w:r>
              <w:rPr>
                <w:noProof/>
                <w:webHidden/>
              </w:rPr>
            </w:r>
            <w:r>
              <w:rPr>
                <w:noProof/>
                <w:webHidden/>
              </w:rPr>
              <w:fldChar w:fldCharType="separate"/>
            </w:r>
            <w:r>
              <w:rPr>
                <w:noProof/>
                <w:webHidden/>
              </w:rPr>
              <w:t>2</w:t>
            </w:r>
            <w:r>
              <w:rPr>
                <w:noProof/>
                <w:webHidden/>
              </w:rPr>
              <w:fldChar w:fldCharType="end"/>
            </w:r>
          </w:hyperlink>
        </w:p>
        <w:p w14:paraId="461B8E8B" w14:textId="1CB46AFD"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72" w:history="1">
            <w:r w:rsidRPr="00882152">
              <w:rPr>
                <w:rStyle w:val="Lienhypertexte"/>
                <w:noProof/>
              </w:rPr>
              <w:t>Amélioration de la vue Tableau</w:t>
            </w:r>
            <w:r>
              <w:rPr>
                <w:noProof/>
                <w:webHidden/>
              </w:rPr>
              <w:tab/>
            </w:r>
            <w:r>
              <w:rPr>
                <w:noProof/>
                <w:webHidden/>
              </w:rPr>
              <w:fldChar w:fldCharType="begin"/>
            </w:r>
            <w:r>
              <w:rPr>
                <w:noProof/>
                <w:webHidden/>
              </w:rPr>
              <w:instrText xml:space="preserve"> PAGEREF _Toc228780872 \h </w:instrText>
            </w:r>
            <w:r>
              <w:rPr>
                <w:noProof/>
                <w:webHidden/>
              </w:rPr>
            </w:r>
            <w:r>
              <w:rPr>
                <w:noProof/>
                <w:webHidden/>
              </w:rPr>
              <w:fldChar w:fldCharType="separate"/>
            </w:r>
            <w:r>
              <w:rPr>
                <w:noProof/>
                <w:webHidden/>
              </w:rPr>
              <w:t>3</w:t>
            </w:r>
            <w:r>
              <w:rPr>
                <w:noProof/>
                <w:webHidden/>
              </w:rPr>
              <w:fldChar w:fldCharType="end"/>
            </w:r>
          </w:hyperlink>
        </w:p>
        <w:p w14:paraId="2A383FFE" w14:textId="551A0394"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73" w:history="1">
            <w:r w:rsidRPr="00882152">
              <w:rPr>
                <w:rStyle w:val="Lienhypertexte"/>
                <w:noProof/>
              </w:rPr>
              <w:t>Refonte des logos d’Ex Libris/Clarivate</w:t>
            </w:r>
            <w:r>
              <w:rPr>
                <w:noProof/>
                <w:webHidden/>
              </w:rPr>
              <w:tab/>
            </w:r>
            <w:r>
              <w:rPr>
                <w:noProof/>
                <w:webHidden/>
              </w:rPr>
              <w:fldChar w:fldCharType="begin"/>
            </w:r>
            <w:r>
              <w:rPr>
                <w:noProof/>
                <w:webHidden/>
              </w:rPr>
              <w:instrText xml:space="preserve"> PAGEREF _Toc228780873 \h </w:instrText>
            </w:r>
            <w:r>
              <w:rPr>
                <w:noProof/>
                <w:webHidden/>
              </w:rPr>
            </w:r>
            <w:r>
              <w:rPr>
                <w:noProof/>
                <w:webHidden/>
              </w:rPr>
              <w:fldChar w:fldCharType="separate"/>
            </w:r>
            <w:r>
              <w:rPr>
                <w:noProof/>
                <w:webHidden/>
              </w:rPr>
              <w:t>4</w:t>
            </w:r>
            <w:r>
              <w:rPr>
                <w:noProof/>
                <w:webHidden/>
              </w:rPr>
              <w:fldChar w:fldCharType="end"/>
            </w:r>
          </w:hyperlink>
        </w:p>
        <w:p w14:paraId="4AFBB06A" w14:textId="6FAFCDC4"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74" w:history="1">
            <w:r w:rsidRPr="00882152">
              <w:rPr>
                <w:rStyle w:val="Lienhypertexte"/>
                <w:noProof/>
              </w:rPr>
              <w:t>Recherche dans le menu</w:t>
            </w:r>
            <w:r>
              <w:rPr>
                <w:noProof/>
                <w:webHidden/>
              </w:rPr>
              <w:tab/>
            </w:r>
            <w:r>
              <w:rPr>
                <w:noProof/>
                <w:webHidden/>
              </w:rPr>
              <w:fldChar w:fldCharType="begin"/>
            </w:r>
            <w:r>
              <w:rPr>
                <w:noProof/>
                <w:webHidden/>
              </w:rPr>
              <w:instrText xml:space="preserve"> PAGEREF _Toc228780874 \h </w:instrText>
            </w:r>
            <w:r>
              <w:rPr>
                <w:noProof/>
                <w:webHidden/>
              </w:rPr>
            </w:r>
            <w:r>
              <w:rPr>
                <w:noProof/>
                <w:webHidden/>
              </w:rPr>
              <w:fldChar w:fldCharType="separate"/>
            </w:r>
            <w:r>
              <w:rPr>
                <w:noProof/>
                <w:webHidden/>
              </w:rPr>
              <w:t>4</w:t>
            </w:r>
            <w:r>
              <w:rPr>
                <w:noProof/>
                <w:webHidden/>
              </w:rPr>
              <w:fldChar w:fldCharType="end"/>
            </w:r>
          </w:hyperlink>
        </w:p>
        <w:p w14:paraId="34ABB4BD" w14:textId="3177A57A" w:rsidR="00034D6E" w:rsidRDefault="00034D6E">
          <w:pPr>
            <w:pStyle w:val="TM1"/>
            <w:tabs>
              <w:tab w:val="right" w:leader="dot" w:pos="9062"/>
            </w:tabs>
            <w:rPr>
              <w:rFonts w:eastAsiaTheme="minorEastAsia"/>
              <w:noProof/>
              <w:kern w:val="2"/>
              <w:sz w:val="24"/>
              <w:szCs w:val="24"/>
              <w:lang w:eastAsia="fr-FR"/>
              <w14:ligatures w14:val="standardContextual"/>
            </w:rPr>
          </w:pPr>
          <w:hyperlink w:anchor="_Toc228780875" w:history="1">
            <w:r w:rsidRPr="00882152">
              <w:rPr>
                <w:rStyle w:val="Lienhypertexte"/>
                <w:noProof/>
              </w:rPr>
              <w:t>Circulation</w:t>
            </w:r>
            <w:r>
              <w:rPr>
                <w:noProof/>
                <w:webHidden/>
              </w:rPr>
              <w:tab/>
            </w:r>
            <w:r>
              <w:rPr>
                <w:noProof/>
                <w:webHidden/>
              </w:rPr>
              <w:fldChar w:fldCharType="begin"/>
            </w:r>
            <w:r>
              <w:rPr>
                <w:noProof/>
                <w:webHidden/>
              </w:rPr>
              <w:instrText xml:space="preserve"> PAGEREF _Toc228780875 \h </w:instrText>
            </w:r>
            <w:r>
              <w:rPr>
                <w:noProof/>
                <w:webHidden/>
              </w:rPr>
            </w:r>
            <w:r>
              <w:rPr>
                <w:noProof/>
                <w:webHidden/>
              </w:rPr>
              <w:fldChar w:fldCharType="separate"/>
            </w:r>
            <w:r>
              <w:rPr>
                <w:noProof/>
                <w:webHidden/>
              </w:rPr>
              <w:t>4</w:t>
            </w:r>
            <w:r>
              <w:rPr>
                <w:noProof/>
                <w:webHidden/>
              </w:rPr>
              <w:fldChar w:fldCharType="end"/>
            </w:r>
          </w:hyperlink>
        </w:p>
        <w:p w14:paraId="3A419585" w14:textId="5BD3B632"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76" w:history="1">
            <w:r w:rsidRPr="00882152">
              <w:rPr>
                <w:rStyle w:val="Lienhypertexte"/>
                <w:rFonts w:eastAsia="Times New Roman"/>
                <w:noProof/>
                <w:lang w:eastAsia="fr-FR"/>
              </w:rPr>
              <w:t>Blocage de la réservation de documents pour un usager qui ne pourra pas l’emprunter</w:t>
            </w:r>
            <w:r>
              <w:rPr>
                <w:noProof/>
                <w:webHidden/>
              </w:rPr>
              <w:tab/>
            </w:r>
            <w:r>
              <w:rPr>
                <w:noProof/>
                <w:webHidden/>
              </w:rPr>
              <w:fldChar w:fldCharType="begin"/>
            </w:r>
            <w:r>
              <w:rPr>
                <w:noProof/>
                <w:webHidden/>
              </w:rPr>
              <w:instrText xml:space="preserve"> PAGEREF _Toc228780876 \h </w:instrText>
            </w:r>
            <w:r>
              <w:rPr>
                <w:noProof/>
                <w:webHidden/>
              </w:rPr>
            </w:r>
            <w:r>
              <w:rPr>
                <w:noProof/>
                <w:webHidden/>
              </w:rPr>
              <w:fldChar w:fldCharType="separate"/>
            </w:r>
            <w:r>
              <w:rPr>
                <w:noProof/>
                <w:webHidden/>
              </w:rPr>
              <w:t>4</w:t>
            </w:r>
            <w:r>
              <w:rPr>
                <w:noProof/>
                <w:webHidden/>
              </w:rPr>
              <w:fldChar w:fldCharType="end"/>
            </w:r>
          </w:hyperlink>
        </w:p>
        <w:p w14:paraId="0111E783" w14:textId="26527EF6"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77" w:history="1">
            <w:r w:rsidRPr="00882152">
              <w:rPr>
                <w:rStyle w:val="Lienhypertexte"/>
                <w:noProof/>
              </w:rPr>
              <w:t>Visibilité des motifs de blocage d’une réservation pour un usager donné</w:t>
            </w:r>
            <w:r>
              <w:rPr>
                <w:noProof/>
                <w:webHidden/>
              </w:rPr>
              <w:tab/>
            </w:r>
            <w:r>
              <w:rPr>
                <w:noProof/>
                <w:webHidden/>
              </w:rPr>
              <w:fldChar w:fldCharType="begin"/>
            </w:r>
            <w:r>
              <w:rPr>
                <w:noProof/>
                <w:webHidden/>
              </w:rPr>
              <w:instrText xml:space="preserve"> PAGEREF _Toc228780877 \h </w:instrText>
            </w:r>
            <w:r>
              <w:rPr>
                <w:noProof/>
                <w:webHidden/>
              </w:rPr>
            </w:r>
            <w:r>
              <w:rPr>
                <w:noProof/>
                <w:webHidden/>
              </w:rPr>
              <w:fldChar w:fldCharType="separate"/>
            </w:r>
            <w:r>
              <w:rPr>
                <w:noProof/>
                <w:webHidden/>
              </w:rPr>
              <w:t>5</w:t>
            </w:r>
            <w:r>
              <w:rPr>
                <w:noProof/>
                <w:webHidden/>
              </w:rPr>
              <w:fldChar w:fldCharType="end"/>
            </w:r>
          </w:hyperlink>
        </w:p>
        <w:p w14:paraId="26EB380D" w14:textId="59A6B3A1"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78" w:history="1">
            <w:r w:rsidRPr="00882152">
              <w:rPr>
                <w:rStyle w:val="Lienhypertexte"/>
                <w:noProof/>
              </w:rPr>
              <w:t>Ajustement automatique de la date de retour des prêts lorsque la date d’expiration d’un dossier est avancée</w:t>
            </w:r>
            <w:r>
              <w:rPr>
                <w:noProof/>
                <w:webHidden/>
              </w:rPr>
              <w:tab/>
            </w:r>
            <w:r>
              <w:rPr>
                <w:noProof/>
                <w:webHidden/>
              </w:rPr>
              <w:fldChar w:fldCharType="begin"/>
            </w:r>
            <w:r>
              <w:rPr>
                <w:noProof/>
                <w:webHidden/>
              </w:rPr>
              <w:instrText xml:space="preserve"> PAGEREF _Toc228780878 \h </w:instrText>
            </w:r>
            <w:r>
              <w:rPr>
                <w:noProof/>
                <w:webHidden/>
              </w:rPr>
            </w:r>
            <w:r>
              <w:rPr>
                <w:noProof/>
                <w:webHidden/>
              </w:rPr>
              <w:fldChar w:fldCharType="separate"/>
            </w:r>
            <w:r>
              <w:rPr>
                <w:noProof/>
                <w:webHidden/>
              </w:rPr>
              <w:t>5</w:t>
            </w:r>
            <w:r>
              <w:rPr>
                <w:noProof/>
                <w:webHidden/>
              </w:rPr>
              <w:fldChar w:fldCharType="end"/>
            </w:r>
          </w:hyperlink>
        </w:p>
        <w:p w14:paraId="28D20BB0" w14:textId="777CE762" w:rsidR="00034D6E" w:rsidRDefault="00034D6E">
          <w:pPr>
            <w:pStyle w:val="TM1"/>
            <w:tabs>
              <w:tab w:val="right" w:leader="dot" w:pos="9062"/>
            </w:tabs>
            <w:rPr>
              <w:rFonts w:eastAsiaTheme="minorEastAsia"/>
              <w:noProof/>
              <w:kern w:val="2"/>
              <w:sz w:val="24"/>
              <w:szCs w:val="24"/>
              <w:lang w:eastAsia="fr-FR"/>
              <w14:ligatures w14:val="standardContextual"/>
            </w:rPr>
          </w:pPr>
          <w:hyperlink w:anchor="_Toc228780879" w:history="1">
            <w:r w:rsidRPr="00882152">
              <w:rPr>
                <w:rStyle w:val="Lienhypertexte"/>
                <w:noProof/>
              </w:rPr>
              <w:t>Acquisitions</w:t>
            </w:r>
            <w:r>
              <w:rPr>
                <w:noProof/>
                <w:webHidden/>
              </w:rPr>
              <w:tab/>
            </w:r>
            <w:r>
              <w:rPr>
                <w:noProof/>
                <w:webHidden/>
              </w:rPr>
              <w:fldChar w:fldCharType="begin"/>
            </w:r>
            <w:r>
              <w:rPr>
                <w:noProof/>
                <w:webHidden/>
              </w:rPr>
              <w:instrText xml:space="preserve"> PAGEREF _Toc228780879 \h </w:instrText>
            </w:r>
            <w:r>
              <w:rPr>
                <w:noProof/>
                <w:webHidden/>
              </w:rPr>
            </w:r>
            <w:r>
              <w:rPr>
                <w:noProof/>
                <w:webHidden/>
              </w:rPr>
              <w:fldChar w:fldCharType="separate"/>
            </w:r>
            <w:r>
              <w:rPr>
                <w:noProof/>
                <w:webHidden/>
              </w:rPr>
              <w:t>6</w:t>
            </w:r>
            <w:r>
              <w:rPr>
                <w:noProof/>
                <w:webHidden/>
              </w:rPr>
              <w:fldChar w:fldCharType="end"/>
            </w:r>
          </w:hyperlink>
        </w:p>
        <w:p w14:paraId="1D17306D" w14:textId="6FC26EBD"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0" w:history="1">
            <w:r w:rsidRPr="00882152">
              <w:rPr>
                <w:rStyle w:val="Lienhypertexte"/>
                <w:rFonts w:eastAsia="Times New Roman"/>
                <w:noProof/>
                <w:lang w:eastAsia="fr-FR"/>
              </w:rPr>
              <w:t>Assistant d’Intelligence Artificielle (version Bêta) pour le suivi du budget</w:t>
            </w:r>
            <w:r>
              <w:rPr>
                <w:noProof/>
                <w:webHidden/>
              </w:rPr>
              <w:tab/>
            </w:r>
            <w:r>
              <w:rPr>
                <w:noProof/>
                <w:webHidden/>
              </w:rPr>
              <w:fldChar w:fldCharType="begin"/>
            </w:r>
            <w:r>
              <w:rPr>
                <w:noProof/>
                <w:webHidden/>
              </w:rPr>
              <w:instrText xml:space="preserve"> PAGEREF _Toc228780880 \h </w:instrText>
            </w:r>
            <w:r>
              <w:rPr>
                <w:noProof/>
                <w:webHidden/>
              </w:rPr>
            </w:r>
            <w:r>
              <w:rPr>
                <w:noProof/>
                <w:webHidden/>
              </w:rPr>
              <w:fldChar w:fldCharType="separate"/>
            </w:r>
            <w:r>
              <w:rPr>
                <w:noProof/>
                <w:webHidden/>
              </w:rPr>
              <w:t>6</w:t>
            </w:r>
            <w:r>
              <w:rPr>
                <w:noProof/>
                <w:webHidden/>
              </w:rPr>
              <w:fldChar w:fldCharType="end"/>
            </w:r>
          </w:hyperlink>
        </w:p>
        <w:p w14:paraId="1DA97A63" w14:textId="74052874" w:rsidR="00034D6E" w:rsidRDefault="00034D6E">
          <w:pPr>
            <w:pStyle w:val="TM1"/>
            <w:tabs>
              <w:tab w:val="right" w:leader="dot" w:pos="9062"/>
            </w:tabs>
            <w:rPr>
              <w:rFonts w:eastAsiaTheme="minorEastAsia"/>
              <w:noProof/>
              <w:kern w:val="2"/>
              <w:sz w:val="24"/>
              <w:szCs w:val="24"/>
              <w:lang w:eastAsia="fr-FR"/>
              <w14:ligatures w14:val="standardContextual"/>
            </w:rPr>
          </w:pPr>
          <w:hyperlink w:anchor="_Toc228780881" w:history="1">
            <w:r w:rsidRPr="00882152">
              <w:rPr>
                <w:rStyle w:val="Lienhypertexte"/>
                <w:noProof/>
              </w:rPr>
              <w:t>Gestion des données</w:t>
            </w:r>
            <w:r>
              <w:rPr>
                <w:noProof/>
                <w:webHidden/>
              </w:rPr>
              <w:tab/>
            </w:r>
            <w:r>
              <w:rPr>
                <w:noProof/>
                <w:webHidden/>
              </w:rPr>
              <w:fldChar w:fldCharType="begin"/>
            </w:r>
            <w:r>
              <w:rPr>
                <w:noProof/>
                <w:webHidden/>
              </w:rPr>
              <w:instrText xml:space="preserve"> PAGEREF _Toc228780881 \h </w:instrText>
            </w:r>
            <w:r>
              <w:rPr>
                <w:noProof/>
                <w:webHidden/>
              </w:rPr>
            </w:r>
            <w:r>
              <w:rPr>
                <w:noProof/>
                <w:webHidden/>
              </w:rPr>
              <w:fldChar w:fldCharType="separate"/>
            </w:r>
            <w:r>
              <w:rPr>
                <w:noProof/>
                <w:webHidden/>
              </w:rPr>
              <w:t>7</w:t>
            </w:r>
            <w:r>
              <w:rPr>
                <w:noProof/>
                <w:webHidden/>
              </w:rPr>
              <w:fldChar w:fldCharType="end"/>
            </w:r>
          </w:hyperlink>
        </w:p>
        <w:p w14:paraId="09C8ED51" w14:textId="3213D408"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2" w:history="1">
            <w:r w:rsidRPr="00882152">
              <w:rPr>
                <w:rStyle w:val="Lienhypertexte"/>
                <w:noProof/>
                <w:lang w:eastAsia="fr-FR"/>
              </w:rPr>
              <w:t>Menu développement de collection, ajout d’outils avancés</w:t>
            </w:r>
            <w:r>
              <w:rPr>
                <w:noProof/>
                <w:webHidden/>
              </w:rPr>
              <w:tab/>
            </w:r>
            <w:r>
              <w:rPr>
                <w:noProof/>
                <w:webHidden/>
              </w:rPr>
              <w:fldChar w:fldCharType="begin"/>
            </w:r>
            <w:r>
              <w:rPr>
                <w:noProof/>
                <w:webHidden/>
              </w:rPr>
              <w:instrText xml:space="preserve"> PAGEREF _Toc228780882 \h </w:instrText>
            </w:r>
            <w:r>
              <w:rPr>
                <w:noProof/>
                <w:webHidden/>
              </w:rPr>
            </w:r>
            <w:r>
              <w:rPr>
                <w:noProof/>
                <w:webHidden/>
              </w:rPr>
              <w:fldChar w:fldCharType="separate"/>
            </w:r>
            <w:r>
              <w:rPr>
                <w:noProof/>
                <w:webHidden/>
              </w:rPr>
              <w:t>7</w:t>
            </w:r>
            <w:r>
              <w:rPr>
                <w:noProof/>
                <w:webHidden/>
              </w:rPr>
              <w:fldChar w:fldCharType="end"/>
            </w:r>
          </w:hyperlink>
        </w:p>
        <w:p w14:paraId="7C44E0E0" w14:textId="22CB8778"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3" w:history="1">
            <w:r w:rsidRPr="00882152">
              <w:rPr>
                <w:rStyle w:val="Lienhypertexte"/>
                <w:noProof/>
                <w:lang w:eastAsia="fr-FR"/>
              </w:rPr>
              <w:t>Développement de collection, import de codes-barres</w:t>
            </w:r>
            <w:r>
              <w:rPr>
                <w:noProof/>
                <w:webHidden/>
              </w:rPr>
              <w:tab/>
            </w:r>
            <w:r>
              <w:rPr>
                <w:noProof/>
                <w:webHidden/>
              </w:rPr>
              <w:fldChar w:fldCharType="begin"/>
            </w:r>
            <w:r>
              <w:rPr>
                <w:noProof/>
                <w:webHidden/>
              </w:rPr>
              <w:instrText xml:space="preserve"> PAGEREF _Toc228780883 \h </w:instrText>
            </w:r>
            <w:r>
              <w:rPr>
                <w:noProof/>
                <w:webHidden/>
              </w:rPr>
            </w:r>
            <w:r>
              <w:rPr>
                <w:noProof/>
                <w:webHidden/>
              </w:rPr>
              <w:fldChar w:fldCharType="separate"/>
            </w:r>
            <w:r>
              <w:rPr>
                <w:noProof/>
                <w:webHidden/>
              </w:rPr>
              <w:t>8</w:t>
            </w:r>
            <w:r>
              <w:rPr>
                <w:noProof/>
                <w:webHidden/>
              </w:rPr>
              <w:fldChar w:fldCharType="end"/>
            </w:r>
          </w:hyperlink>
        </w:p>
        <w:p w14:paraId="7973EC84" w14:textId="55C8BB1C"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4" w:history="1">
            <w:r w:rsidRPr="00882152">
              <w:rPr>
                <w:rStyle w:val="Lienhypertexte"/>
                <w:noProof/>
                <w:lang w:eastAsia="fr-FR"/>
              </w:rPr>
              <w:t>Rialto</w:t>
            </w:r>
            <w:r>
              <w:rPr>
                <w:noProof/>
                <w:webHidden/>
              </w:rPr>
              <w:tab/>
            </w:r>
            <w:r>
              <w:rPr>
                <w:noProof/>
                <w:webHidden/>
              </w:rPr>
              <w:fldChar w:fldCharType="begin"/>
            </w:r>
            <w:r>
              <w:rPr>
                <w:noProof/>
                <w:webHidden/>
              </w:rPr>
              <w:instrText xml:space="preserve"> PAGEREF _Toc228780884 \h </w:instrText>
            </w:r>
            <w:r>
              <w:rPr>
                <w:noProof/>
                <w:webHidden/>
              </w:rPr>
            </w:r>
            <w:r>
              <w:rPr>
                <w:noProof/>
                <w:webHidden/>
              </w:rPr>
              <w:fldChar w:fldCharType="separate"/>
            </w:r>
            <w:r>
              <w:rPr>
                <w:noProof/>
                <w:webHidden/>
              </w:rPr>
              <w:t>8</w:t>
            </w:r>
            <w:r>
              <w:rPr>
                <w:noProof/>
                <w:webHidden/>
              </w:rPr>
              <w:fldChar w:fldCharType="end"/>
            </w:r>
          </w:hyperlink>
        </w:p>
        <w:p w14:paraId="6F458534" w14:textId="091AFA7E" w:rsidR="00034D6E" w:rsidRDefault="00034D6E">
          <w:pPr>
            <w:pStyle w:val="TM1"/>
            <w:tabs>
              <w:tab w:val="right" w:leader="dot" w:pos="9062"/>
            </w:tabs>
            <w:rPr>
              <w:rFonts w:eastAsiaTheme="minorEastAsia"/>
              <w:noProof/>
              <w:kern w:val="2"/>
              <w:sz w:val="24"/>
              <w:szCs w:val="24"/>
              <w:lang w:eastAsia="fr-FR"/>
              <w14:ligatures w14:val="standardContextual"/>
            </w:rPr>
          </w:pPr>
          <w:hyperlink w:anchor="_Toc228780885" w:history="1">
            <w:r w:rsidRPr="00882152">
              <w:rPr>
                <w:rStyle w:val="Lienhypertexte"/>
                <w:noProof/>
              </w:rPr>
              <w:t>Doc’Elec</w:t>
            </w:r>
            <w:r>
              <w:rPr>
                <w:noProof/>
                <w:webHidden/>
              </w:rPr>
              <w:tab/>
            </w:r>
            <w:r>
              <w:rPr>
                <w:noProof/>
                <w:webHidden/>
              </w:rPr>
              <w:fldChar w:fldCharType="begin"/>
            </w:r>
            <w:r>
              <w:rPr>
                <w:noProof/>
                <w:webHidden/>
              </w:rPr>
              <w:instrText xml:space="preserve"> PAGEREF _Toc228780885 \h </w:instrText>
            </w:r>
            <w:r>
              <w:rPr>
                <w:noProof/>
                <w:webHidden/>
              </w:rPr>
            </w:r>
            <w:r>
              <w:rPr>
                <w:noProof/>
                <w:webHidden/>
              </w:rPr>
              <w:fldChar w:fldCharType="separate"/>
            </w:r>
            <w:r>
              <w:rPr>
                <w:noProof/>
                <w:webHidden/>
              </w:rPr>
              <w:t>9</w:t>
            </w:r>
            <w:r>
              <w:rPr>
                <w:noProof/>
                <w:webHidden/>
              </w:rPr>
              <w:fldChar w:fldCharType="end"/>
            </w:r>
          </w:hyperlink>
        </w:p>
        <w:p w14:paraId="59140277" w14:textId="39FB301E"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6" w:history="1">
            <w:r w:rsidRPr="00882152">
              <w:rPr>
                <w:rStyle w:val="Lienhypertexte"/>
                <w:noProof/>
              </w:rPr>
              <w:t>Nouveau paramétrage pour garder les portfolios supprimés de la KB actifs</w:t>
            </w:r>
            <w:r>
              <w:rPr>
                <w:noProof/>
                <w:webHidden/>
              </w:rPr>
              <w:tab/>
            </w:r>
            <w:r>
              <w:rPr>
                <w:noProof/>
                <w:webHidden/>
              </w:rPr>
              <w:fldChar w:fldCharType="begin"/>
            </w:r>
            <w:r>
              <w:rPr>
                <w:noProof/>
                <w:webHidden/>
              </w:rPr>
              <w:instrText xml:space="preserve"> PAGEREF _Toc228780886 \h </w:instrText>
            </w:r>
            <w:r>
              <w:rPr>
                <w:noProof/>
                <w:webHidden/>
              </w:rPr>
            </w:r>
            <w:r>
              <w:rPr>
                <w:noProof/>
                <w:webHidden/>
              </w:rPr>
              <w:fldChar w:fldCharType="separate"/>
            </w:r>
            <w:r>
              <w:rPr>
                <w:noProof/>
                <w:webHidden/>
              </w:rPr>
              <w:t>9</w:t>
            </w:r>
            <w:r>
              <w:rPr>
                <w:noProof/>
                <w:webHidden/>
              </w:rPr>
              <w:fldChar w:fldCharType="end"/>
            </w:r>
          </w:hyperlink>
        </w:p>
        <w:p w14:paraId="6FAF82B1" w14:textId="48C4F3A6"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7" w:history="1">
            <w:r w:rsidRPr="00882152">
              <w:rPr>
                <w:rStyle w:val="Lienhypertexte"/>
                <w:noProof/>
              </w:rPr>
              <w:t>Modifications pour le signalement des incidents liées aux ressources électroniques</w:t>
            </w:r>
            <w:r>
              <w:rPr>
                <w:noProof/>
                <w:webHidden/>
              </w:rPr>
              <w:tab/>
            </w:r>
            <w:r>
              <w:rPr>
                <w:noProof/>
                <w:webHidden/>
              </w:rPr>
              <w:fldChar w:fldCharType="begin"/>
            </w:r>
            <w:r>
              <w:rPr>
                <w:noProof/>
                <w:webHidden/>
              </w:rPr>
              <w:instrText xml:space="preserve"> PAGEREF _Toc228780887 \h </w:instrText>
            </w:r>
            <w:r>
              <w:rPr>
                <w:noProof/>
                <w:webHidden/>
              </w:rPr>
            </w:r>
            <w:r>
              <w:rPr>
                <w:noProof/>
                <w:webHidden/>
              </w:rPr>
              <w:fldChar w:fldCharType="separate"/>
            </w:r>
            <w:r>
              <w:rPr>
                <w:noProof/>
                <w:webHidden/>
              </w:rPr>
              <w:t>10</w:t>
            </w:r>
            <w:r>
              <w:rPr>
                <w:noProof/>
                <w:webHidden/>
              </w:rPr>
              <w:fldChar w:fldCharType="end"/>
            </w:r>
          </w:hyperlink>
        </w:p>
        <w:p w14:paraId="3B35BCFB" w14:textId="66675164"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8" w:history="1">
            <w:r w:rsidRPr="00882152">
              <w:rPr>
                <w:rStyle w:val="Lienhypertexte"/>
                <w:noProof/>
              </w:rPr>
              <w:t>Nouveaux champs dans le traitement par lot « Modifier les informations du portefeuille électronique »</w:t>
            </w:r>
            <w:r>
              <w:rPr>
                <w:noProof/>
                <w:webHidden/>
              </w:rPr>
              <w:tab/>
            </w:r>
            <w:r>
              <w:rPr>
                <w:noProof/>
                <w:webHidden/>
              </w:rPr>
              <w:fldChar w:fldCharType="begin"/>
            </w:r>
            <w:r>
              <w:rPr>
                <w:noProof/>
                <w:webHidden/>
              </w:rPr>
              <w:instrText xml:space="preserve"> PAGEREF _Toc228780888 \h </w:instrText>
            </w:r>
            <w:r>
              <w:rPr>
                <w:noProof/>
                <w:webHidden/>
              </w:rPr>
            </w:r>
            <w:r>
              <w:rPr>
                <w:noProof/>
                <w:webHidden/>
              </w:rPr>
              <w:fldChar w:fldCharType="separate"/>
            </w:r>
            <w:r>
              <w:rPr>
                <w:noProof/>
                <w:webHidden/>
              </w:rPr>
              <w:t>10</w:t>
            </w:r>
            <w:r>
              <w:rPr>
                <w:noProof/>
                <w:webHidden/>
              </w:rPr>
              <w:fldChar w:fldCharType="end"/>
            </w:r>
          </w:hyperlink>
        </w:p>
        <w:p w14:paraId="179FCC9E" w14:textId="34BCC4D3"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89" w:history="1">
            <w:r w:rsidRPr="00882152">
              <w:rPr>
                <w:rStyle w:val="Lienhypertexte"/>
                <w:noProof/>
              </w:rPr>
              <w:t>Collections électroniques en pré-lancement dans la KB</w:t>
            </w:r>
            <w:r>
              <w:rPr>
                <w:noProof/>
                <w:webHidden/>
              </w:rPr>
              <w:tab/>
            </w:r>
            <w:r>
              <w:rPr>
                <w:noProof/>
                <w:webHidden/>
              </w:rPr>
              <w:fldChar w:fldCharType="begin"/>
            </w:r>
            <w:r>
              <w:rPr>
                <w:noProof/>
                <w:webHidden/>
              </w:rPr>
              <w:instrText xml:space="preserve"> PAGEREF _Toc228780889 \h </w:instrText>
            </w:r>
            <w:r>
              <w:rPr>
                <w:noProof/>
                <w:webHidden/>
              </w:rPr>
            </w:r>
            <w:r>
              <w:rPr>
                <w:noProof/>
                <w:webHidden/>
              </w:rPr>
              <w:fldChar w:fldCharType="separate"/>
            </w:r>
            <w:r>
              <w:rPr>
                <w:noProof/>
                <w:webHidden/>
              </w:rPr>
              <w:t>12</w:t>
            </w:r>
            <w:r>
              <w:rPr>
                <w:noProof/>
                <w:webHidden/>
              </w:rPr>
              <w:fldChar w:fldCharType="end"/>
            </w:r>
          </w:hyperlink>
        </w:p>
        <w:p w14:paraId="68797E4C" w14:textId="15E7251A"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90" w:history="1">
            <w:r w:rsidRPr="00882152">
              <w:rPr>
                <w:rStyle w:val="Lienhypertexte"/>
                <w:noProof/>
              </w:rPr>
              <w:t>Suppression des notices bibliographiques localisées lors de la commande de collections électroniques dans la zone de communauté</w:t>
            </w:r>
            <w:r>
              <w:rPr>
                <w:noProof/>
                <w:webHidden/>
              </w:rPr>
              <w:tab/>
            </w:r>
            <w:r>
              <w:rPr>
                <w:noProof/>
                <w:webHidden/>
              </w:rPr>
              <w:fldChar w:fldCharType="begin"/>
            </w:r>
            <w:r>
              <w:rPr>
                <w:noProof/>
                <w:webHidden/>
              </w:rPr>
              <w:instrText xml:space="preserve"> PAGEREF _Toc228780890 \h </w:instrText>
            </w:r>
            <w:r>
              <w:rPr>
                <w:noProof/>
                <w:webHidden/>
              </w:rPr>
            </w:r>
            <w:r>
              <w:rPr>
                <w:noProof/>
                <w:webHidden/>
              </w:rPr>
              <w:fldChar w:fldCharType="separate"/>
            </w:r>
            <w:r>
              <w:rPr>
                <w:noProof/>
                <w:webHidden/>
              </w:rPr>
              <w:t>13</w:t>
            </w:r>
            <w:r>
              <w:rPr>
                <w:noProof/>
                <w:webHidden/>
              </w:rPr>
              <w:fldChar w:fldCharType="end"/>
            </w:r>
          </w:hyperlink>
        </w:p>
        <w:p w14:paraId="17EF0C98" w14:textId="5CD91A48" w:rsidR="00034D6E" w:rsidRDefault="00034D6E">
          <w:pPr>
            <w:pStyle w:val="TM1"/>
            <w:tabs>
              <w:tab w:val="right" w:leader="dot" w:pos="9062"/>
            </w:tabs>
            <w:rPr>
              <w:rFonts w:eastAsiaTheme="minorEastAsia"/>
              <w:noProof/>
              <w:kern w:val="2"/>
              <w:sz w:val="24"/>
              <w:szCs w:val="24"/>
              <w:lang w:eastAsia="fr-FR"/>
              <w14:ligatures w14:val="standardContextual"/>
            </w:rPr>
          </w:pPr>
          <w:hyperlink w:anchor="_Toc228780891" w:history="1">
            <w:r w:rsidRPr="00882152">
              <w:rPr>
                <w:rStyle w:val="Lienhypertexte"/>
                <w:noProof/>
              </w:rPr>
              <w:t>Analytics</w:t>
            </w:r>
            <w:r>
              <w:rPr>
                <w:noProof/>
                <w:webHidden/>
              </w:rPr>
              <w:tab/>
            </w:r>
            <w:r>
              <w:rPr>
                <w:noProof/>
                <w:webHidden/>
              </w:rPr>
              <w:fldChar w:fldCharType="begin"/>
            </w:r>
            <w:r>
              <w:rPr>
                <w:noProof/>
                <w:webHidden/>
              </w:rPr>
              <w:instrText xml:space="preserve"> PAGEREF _Toc228780891 \h </w:instrText>
            </w:r>
            <w:r>
              <w:rPr>
                <w:noProof/>
                <w:webHidden/>
              </w:rPr>
            </w:r>
            <w:r>
              <w:rPr>
                <w:noProof/>
                <w:webHidden/>
              </w:rPr>
              <w:fldChar w:fldCharType="separate"/>
            </w:r>
            <w:r>
              <w:rPr>
                <w:noProof/>
                <w:webHidden/>
              </w:rPr>
              <w:t>13</w:t>
            </w:r>
            <w:r>
              <w:rPr>
                <w:noProof/>
                <w:webHidden/>
              </w:rPr>
              <w:fldChar w:fldCharType="end"/>
            </w:r>
          </w:hyperlink>
        </w:p>
        <w:p w14:paraId="48C2D4AC" w14:textId="0B4C162C" w:rsidR="00034D6E" w:rsidRDefault="00034D6E">
          <w:pPr>
            <w:pStyle w:val="TM2"/>
            <w:tabs>
              <w:tab w:val="right" w:leader="dot" w:pos="9062"/>
            </w:tabs>
            <w:rPr>
              <w:rFonts w:eastAsiaTheme="minorEastAsia"/>
              <w:noProof/>
              <w:kern w:val="2"/>
              <w:sz w:val="24"/>
              <w:szCs w:val="24"/>
              <w:lang w:eastAsia="fr-FR"/>
              <w14:ligatures w14:val="standardContextual"/>
            </w:rPr>
          </w:pPr>
          <w:hyperlink w:anchor="_Toc228780892" w:history="1">
            <w:r w:rsidRPr="00882152">
              <w:rPr>
                <w:rStyle w:val="Lienhypertexte"/>
                <w:noProof/>
              </w:rPr>
              <w:t>Ajout dans le domaine Bibliographic Details</w:t>
            </w:r>
            <w:r>
              <w:rPr>
                <w:noProof/>
                <w:webHidden/>
              </w:rPr>
              <w:tab/>
            </w:r>
            <w:r>
              <w:rPr>
                <w:noProof/>
                <w:webHidden/>
              </w:rPr>
              <w:fldChar w:fldCharType="begin"/>
            </w:r>
            <w:r>
              <w:rPr>
                <w:noProof/>
                <w:webHidden/>
              </w:rPr>
              <w:instrText xml:space="preserve"> PAGEREF _Toc228780892 \h </w:instrText>
            </w:r>
            <w:r>
              <w:rPr>
                <w:noProof/>
                <w:webHidden/>
              </w:rPr>
            </w:r>
            <w:r>
              <w:rPr>
                <w:noProof/>
                <w:webHidden/>
              </w:rPr>
              <w:fldChar w:fldCharType="separate"/>
            </w:r>
            <w:r>
              <w:rPr>
                <w:noProof/>
                <w:webHidden/>
              </w:rPr>
              <w:t>13</w:t>
            </w:r>
            <w:r>
              <w:rPr>
                <w:noProof/>
                <w:webHidden/>
              </w:rPr>
              <w:fldChar w:fldCharType="end"/>
            </w:r>
          </w:hyperlink>
        </w:p>
        <w:p w14:paraId="4567C1E3" w14:textId="75659FD3" w:rsidR="005E44C1" w:rsidRPr="009F68C1" w:rsidRDefault="005E44C1" w:rsidP="000D4DE4">
          <w:pPr>
            <w:jc w:val="both"/>
            <w:rPr>
              <w:rStyle w:val="Lienhypertexte"/>
              <w:color w:val="auto"/>
              <w:u w:val="none"/>
            </w:rPr>
          </w:pPr>
          <w:r>
            <w:rPr>
              <w:b/>
              <w:bCs/>
            </w:rPr>
            <w:fldChar w:fldCharType="end"/>
          </w:r>
        </w:p>
      </w:sdtContent>
    </w:sdt>
    <w:p w14:paraId="0013993C" w14:textId="11C3BFD8" w:rsidR="00585E22" w:rsidRPr="00585E22" w:rsidRDefault="00AE5827" w:rsidP="000D4DE4">
      <w:pPr>
        <w:pStyle w:val="Titre1"/>
        <w:jc w:val="both"/>
      </w:pPr>
      <w:bookmarkStart w:id="2" w:name="_Toc172815762"/>
      <w:bookmarkStart w:id="3" w:name="_Toc182394117"/>
      <w:bookmarkStart w:id="4" w:name="_Toc220413158"/>
      <w:bookmarkStart w:id="5" w:name="_Toc228780870"/>
      <w:bookmarkEnd w:id="0"/>
      <w:bookmarkEnd w:id="1"/>
      <w:r>
        <w:t>Administration</w:t>
      </w:r>
      <w:bookmarkEnd w:id="2"/>
      <w:bookmarkEnd w:id="3"/>
      <w:bookmarkEnd w:id="4"/>
      <w:bookmarkEnd w:id="5"/>
    </w:p>
    <w:p w14:paraId="2AC86C06" w14:textId="1A340E88" w:rsidR="00B0430B" w:rsidRDefault="0029493C" w:rsidP="000D4DE4">
      <w:pPr>
        <w:pStyle w:val="Titre2"/>
        <w:jc w:val="both"/>
      </w:pPr>
      <w:bookmarkStart w:id="6" w:name="_Toc228780871"/>
      <w:r>
        <w:t xml:space="preserve">Amélioration </w:t>
      </w:r>
      <w:r w:rsidR="002E6F2B">
        <w:t>des facettes accessibles depuis une liste de résultats de type</w:t>
      </w:r>
      <w:r w:rsidR="005567F2">
        <w:t xml:space="preserve"> « holdings</w:t>
      </w:r>
      <w:r w:rsidR="009E1B51">
        <w:t xml:space="preserve"> </w:t>
      </w:r>
      <w:proofErr w:type="gramStart"/>
      <w:r w:rsidR="009E1B51">
        <w:t>physiques»</w:t>
      </w:r>
      <w:proofErr w:type="gramEnd"/>
      <w:r w:rsidR="002E6F2B">
        <w:t xml:space="preserve"> et</w:t>
      </w:r>
      <w:proofErr w:type="gramStart"/>
      <w:r w:rsidR="002E6F2B">
        <w:t xml:space="preserve"> «exemplaires</w:t>
      </w:r>
      <w:proofErr w:type="gramEnd"/>
      <w:r w:rsidR="002E6F2B">
        <w:t xml:space="preserve"> </w:t>
      </w:r>
      <w:proofErr w:type="gramStart"/>
      <w:r w:rsidR="002E6F2B">
        <w:t>physiques»</w:t>
      </w:r>
      <w:bookmarkEnd w:id="6"/>
      <w:proofErr w:type="gramEnd"/>
    </w:p>
    <w:p w14:paraId="4DC85A41" w14:textId="0BEDB8BA" w:rsidR="009E1B51" w:rsidRDefault="002E6F2B" w:rsidP="000D4DE4">
      <w:pPr>
        <w:jc w:val="both"/>
      </w:pPr>
      <w:r>
        <w:t>D</w:t>
      </w:r>
      <w:r w:rsidR="009E1B51">
        <w:t>epuis une liste de résultats issues d’une recherche, dans</w:t>
      </w:r>
      <w:proofErr w:type="gramStart"/>
      <w:r w:rsidR="009E1B51">
        <w:t xml:space="preserve"> «Holdings</w:t>
      </w:r>
      <w:proofErr w:type="gramEnd"/>
      <w:r w:rsidR="009E1B51">
        <w:t xml:space="preserve"> </w:t>
      </w:r>
      <w:r w:rsidR="005567F2">
        <w:t>Physiques »</w:t>
      </w:r>
      <w:r>
        <w:t>, i</w:t>
      </w:r>
      <w:r w:rsidR="009E1B51">
        <w:t>l est</w:t>
      </w:r>
      <w:r w:rsidR="00321EED">
        <w:t xml:space="preserve"> </w:t>
      </w:r>
      <w:r w:rsidR="009E1B51">
        <w:t>possible de filtrer par bibliothèque et par localisation. Pour distinguer les différentes localisations, le nom de la bibliothèque a été ajoutée derrière le nom de la localisation.</w:t>
      </w:r>
    </w:p>
    <w:p w14:paraId="41935F23" w14:textId="40CA86F7" w:rsidR="009E1B51" w:rsidRDefault="009E1B51" w:rsidP="000D4DE4">
      <w:pPr>
        <w:jc w:val="both"/>
      </w:pPr>
      <w:r>
        <w:rPr>
          <w:noProof/>
        </w:rPr>
        <w:drawing>
          <wp:inline distT="0" distB="0" distL="0" distR="0" wp14:anchorId="1E9B0367" wp14:editId="6DB7CDF5">
            <wp:extent cx="4041297" cy="2974769"/>
            <wp:effectExtent l="0" t="0" r="0" b="0"/>
            <wp:docPr id="1376016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56906" cy="2986259"/>
                    </a:xfrm>
                    <a:prstGeom prst="rect">
                      <a:avLst/>
                    </a:prstGeom>
                    <a:noFill/>
                    <a:ln>
                      <a:noFill/>
                    </a:ln>
                  </pic:spPr>
                </pic:pic>
              </a:graphicData>
            </a:graphic>
          </wp:inline>
        </w:drawing>
      </w:r>
    </w:p>
    <w:p w14:paraId="06D54028" w14:textId="2720E5C1" w:rsidR="009E1B51" w:rsidRDefault="00321EED" w:rsidP="000D4DE4">
      <w:pPr>
        <w:jc w:val="both"/>
      </w:pPr>
      <w:r>
        <w:t>Depuis une liste de résultats issues d’une recherche, dans</w:t>
      </w:r>
      <w:proofErr w:type="gramStart"/>
      <w:r>
        <w:t xml:space="preserve"> «exemplaires</w:t>
      </w:r>
      <w:proofErr w:type="gramEnd"/>
      <w:r>
        <w:t xml:space="preserve"> </w:t>
      </w:r>
      <w:proofErr w:type="gramStart"/>
      <w:r>
        <w:t>physiques»</w:t>
      </w:r>
      <w:proofErr w:type="gramEnd"/>
      <w:r>
        <w:t>, il est également possible de filtrer par bibliothèque et par localisation. La bibliothèque et la localisation apparaissent également dans le détail lié à chaque titre.</w:t>
      </w:r>
      <w:r w:rsidR="000D4DE4">
        <w:t xml:space="preserve"> A vérifier mais ce ne sera peut-être visible que dans la version de février 2027 avec la nouvelle interface pour les exemplaires physiques.</w:t>
      </w:r>
    </w:p>
    <w:p w14:paraId="31196C34" w14:textId="34A87C6F" w:rsidR="00321EED" w:rsidRDefault="00321EED" w:rsidP="000D4DE4">
      <w:pPr>
        <w:jc w:val="both"/>
      </w:pPr>
      <w:r>
        <w:rPr>
          <w:noProof/>
        </w:rPr>
        <w:lastRenderedPageBreak/>
        <w:drawing>
          <wp:inline distT="0" distB="0" distL="0" distR="0" wp14:anchorId="57779570" wp14:editId="0C9C92C9">
            <wp:extent cx="4528901" cy="2743200"/>
            <wp:effectExtent l="0" t="0" r="5080" b="0"/>
            <wp:docPr id="534561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6506" cy="2747807"/>
                    </a:xfrm>
                    <a:prstGeom prst="rect">
                      <a:avLst/>
                    </a:prstGeom>
                    <a:noFill/>
                    <a:ln>
                      <a:noFill/>
                    </a:ln>
                  </pic:spPr>
                </pic:pic>
              </a:graphicData>
            </a:graphic>
          </wp:inline>
        </w:drawing>
      </w:r>
    </w:p>
    <w:p w14:paraId="51F3D57E" w14:textId="0111F4E4" w:rsidR="00321EED" w:rsidRDefault="000D2790" w:rsidP="000D4DE4">
      <w:pPr>
        <w:pStyle w:val="Titre2"/>
        <w:jc w:val="both"/>
      </w:pPr>
      <w:bookmarkStart w:id="7" w:name="_Toc228780872"/>
      <w:r>
        <w:t>Amélioration de la vue Tableau</w:t>
      </w:r>
      <w:bookmarkEnd w:id="7"/>
    </w:p>
    <w:p w14:paraId="1E401148" w14:textId="7D89272B" w:rsidR="000D2790" w:rsidRDefault="0083358B" w:rsidP="000D4DE4">
      <w:pPr>
        <w:jc w:val="both"/>
      </w:pPr>
      <w:r>
        <w:t>L’affichage du mode tableau a été repensé pour plus de visibilité.</w:t>
      </w:r>
    </w:p>
    <w:p w14:paraId="17AEA26C" w14:textId="21E0B791" w:rsidR="0083358B" w:rsidRDefault="0083358B" w:rsidP="000D4DE4">
      <w:pPr>
        <w:jc w:val="both"/>
      </w:pPr>
      <w:r>
        <w:t xml:space="preserve">Pour rappel, pour passer au mode tableau, il faut cliquer sur l’icône </w:t>
      </w:r>
      <w:r w:rsidR="00636686">
        <w:t>dédiée depuis une liste de résultats.</w:t>
      </w:r>
    </w:p>
    <w:p w14:paraId="21A35318" w14:textId="354011E1" w:rsidR="00636686" w:rsidRDefault="00636686" w:rsidP="000D4DE4">
      <w:pPr>
        <w:jc w:val="both"/>
      </w:pPr>
      <w:r>
        <w:rPr>
          <w:noProof/>
        </w:rPr>
        <w:drawing>
          <wp:inline distT="0" distB="0" distL="0" distR="0" wp14:anchorId="78C391AB" wp14:editId="6C4B9873">
            <wp:extent cx="2345872" cy="969940"/>
            <wp:effectExtent l="0" t="0" r="0" b="1905"/>
            <wp:docPr id="20269036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0394" cy="971810"/>
                    </a:xfrm>
                    <a:prstGeom prst="rect">
                      <a:avLst/>
                    </a:prstGeom>
                    <a:noFill/>
                    <a:ln>
                      <a:noFill/>
                    </a:ln>
                  </pic:spPr>
                </pic:pic>
              </a:graphicData>
            </a:graphic>
          </wp:inline>
        </w:drawing>
      </w:r>
    </w:p>
    <w:p w14:paraId="247026B1" w14:textId="6A30D690" w:rsidR="0083358B" w:rsidRDefault="00636686" w:rsidP="000D4DE4">
      <w:pPr>
        <w:jc w:val="both"/>
      </w:pPr>
      <w:r>
        <w:t>Pour obtenir une vue détaillée, il faut</w:t>
      </w:r>
      <w:r w:rsidR="005E44C1">
        <w:t xml:space="preserve"> désormais</w:t>
      </w:r>
      <w:r>
        <w:t xml:space="preserve"> cliquer sur le titre ou su</w:t>
      </w:r>
      <w:r w:rsidR="000E3F57">
        <w:t>r</w:t>
      </w:r>
      <w:r>
        <w:t xml:space="preserve"> l’icône en forme d’œil.</w:t>
      </w:r>
    </w:p>
    <w:p w14:paraId="2DDEBA74" w14:textId="6A36C7B8" w:rsidR="000D2790" w:rsidRDefault="00636686" w:rsidP="000D4DE4">
      <w:pPr>
        <w:jc w:val="both"/>
      </w:pPr>
      <w:r>
        <w:rPr>
          <w:noProof/>
        </w:rPr>
        <w:drawing>
          <wp:inline distT="0" distB="0" distL="0" distR="0" wp14:anchorId="54F941C8" wp14:editId="43180C4C">
            <wp:extent cx="6418699" cy="903514"/>
            <wp:effectExtent l="0" t="0" r="1270" b="0"/>
            <wp:docPr id="64478957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8007" cy="907639"/>
                    </a:xfrm>
                    <a:prstGeom prst="rect">
                      <a:avLst/>
                    </a:prstGeom>
                    <a:noFill/>
                    <a:ln>
                      <a:noFill/>
                    </a:ln>
                  </pic:spPr>
                </pic:pic>
              </a:graphicData>
            </a:graphic>
          </wp:inline>
        </w:drawing>
      </w:r>
    </w:p>
    <w:p w14:paraId="33AD7337" w14:textId="468C6B40" w:rsidR="00321EED" w:rsidRDefault="00636686" w:rsidP="000D4DE4">
      <w:pPr>
        <w:jc w:val="both"/>
      </w:pPr>
      <w:r>
        <w:rPr>
          <w:noProof/>
        </w:rPr>
        <w:drawing>
          <wp:inline distT="0" distB="0" distL="0" distR="0" wp14:anchorId="5C435655" wp14:editId="4A7F6BC0">
            <wp:extent cx="5758815" cy="2133600"/>
            <wp:effectExtent l="0" t="0" r="0" b="0"/>
            <wp:docPr id="237720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815" cy="2133600"/>
                    </a:xfrm>
                    <a:prstGeom prst="rect">
                      <a:avLst/>
                    </a:prstGeom>
                    <a:noFill/>
                    <a:ln>
                      <a:noFill/>
                    </a:ln>
                  </pic:spPr>
                </pic:pic>
              </a:graphicData>
            </a:graphic>
          </wp:inline>
        </w:drawing>
      </w:r>
    </w:p>
    <w:p w14:paraId="2B36944A" w14:textId="77777777" w:rsidR="00636686" w:rsidRDefault="00636686" w:rsidP="000D4DE4">
      <w:pPr>
        <w:jc w:val="both"/>
      </w:pPr>
    </w:p>
    <w:p w14:paraId="6C3D208A" w14:textId="5298CE3C" w:rsidR="00636686" w:rsidRDefault="00636686" w:rsidP="000D4DE4">
      <w:pPr>
        <w:pStyle w:val="Titre2"/>
        <w:jc w:val="both"/>
      </w:pPr>
      <w:bookmarkStart w:id="8" w:name="_Toc228780873"/>
      <w:r>
        <w:lastRenderedPageBreak/>
        <w:t xml:space="preserve">Refonte des logos d’Ex </w:t>
      </w:r>
      <w:proofErr w:type="spellStart"/>
      <w:r>
        <w:t>Libris</w:t>
      </w:r>
      <w:proofErr w:type="spellEnd"/>
      <w:r>
        <w:t>/</w:t>
      </w:r>
      <w:proofErr w:type="spellStart"/>
      <w:r>
        <w:t>Clarivate</w:t>
      </w:r>
      <w:bookmarkEnd w:id="8"/>
      <w:proofErr w:type="spellEnd"/>
    </w:p>
    <w:p w14:paraId="3A28663F" w14:textId="221F949A" w:rsidR="00636686" w:rsidRDefault="00636686" w:rsidP="000D4DE4">
      <w:pPr>
        <w:jc w:val="both"/>
      </w:pPr>
      <w:r>
        <w:t xml:space="preserve">Les nouveaux logos d’Ex </w:t>
      </w:r>
      <w:proofErr w:type="spellStart"/>
      <w:r>
        <w:t>Libris</w:t>
      </w:r>
      <w:proofErr w:type="spellEnd"/>
      <w:r>
        <w:t>/</w:t>
      </w:r>
      <w:proofErr w:type="spellStart"/>
      <w:r>
        <w:t>Clarivate</w:t>
      </w:r>
      <w:proofErr w:type="spellEnd"/>
      <w:r>
        <w:t xml:space="preserve"> apparaissent désormais</w:t>
      </w:r>
      <w:r w:rsidR="000D4DE4">
        <w:t xml:space="preserve"> sur toutes les pages liées au fournisseur</w:t>
      </w:r>
      <w:r>
        <w:t>.</w:t>
      </w:r>
    </w:p>
    <w:p w14:paraId="61385C48" w14:textId="7ACEEFE6" w:rsidR="00636686" w:rsidRDefault="00636686" w:rsidP="000D4DE4">
      <w:pPr>
        <w:jc w:val="both"/>
      </w:pPr>
      <w:r w:rsidRPr="00636686">
        <w:rPr>
          <w:noProof/>
        </w:rPr>
        <w:drawing>
          <wp:inline distT="0" distB="0" distL="0" distR="0" wp14:anchorId="79326738" wp14:editId="1B145EA4">
            <wp:extent cx="2661558" cy="644266"/>
            <wp:effectExtent l="0" t="0" r="5715" b="3810"/>
            <wp:docPr id="2128593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93442" name=""/>
                    <pic:cNvPicPr/>
                  </pic:nvPicPr>
                  <pic:blipFill>
                    <a:blip r:embed="rId14"/>
                    <a:stretch>
                      <a:fillRect/>
                    </a:stretch>
                  </pic:blipFill>
                  <pic:spPr>
                    <a:xfrm>
                      <a:off x="0" y="0"/>
                      <a:ext cx="2700723" cy="653746"/>
                    </a:xfrm>
                    <a:prstGeom prst="rect">
                      <a:avLst/>
                    </a:prstGeom>
                  </pic:spPr>
                </pic:pic>
              </a:graphicData>
            </a:graphic>
          </wp:inline>
        </w:drawing>
      </w:r>
    </w:p>
    <w:p w14:paraId="0D9153FF" w14:textId="5F4705FA" w:rsidR="00636686" w:rsidRDefault="00636686" w:rsidP="000D4DE4">
      <w:pPr>
        <w:jc w:val="both"/>
      </w:pPr>
      <w:r w:rsidRPr="00636686">
        <w:rPr>
          <w:noProof/>
        </w:rPr>
        <w:drawing>
          <wp:inline distT="0" distB="0" distL="0" distR="0" wp14:anchorId="42BD3BA9" wp14:editId="40CF1B85">
            <wp:extent cx="2492829" cy="1007600"/>
            <wp:effectExtent l="0" t="0" r="3175" b="2540"/>
            <wp:docPr id="18839142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14265" name=""/>
                    <pic:cNvPicPr/>
                  </pic:nvPicPr>
                  <pic:blipFill>
                    <a:blip r:embed="rId15"/>
                    <a:stretch>
                      <a:fillRect/>
                    </a:stretch>
                  </pic:blipFill>
                  <pic:spPr>
                    <a:xfrm>
                      <a:off x="0" y="0"/>
                      <a:ext cx="2507765" cy="1013637"/>
                    </a:xfrm>
                    <a:prstGeom prst="rect">
                      <a:avLst/>
                    </a:prstGeom>
                  </pic:spPr>
                </pic:pic>
              </a:graphicData>
            </a:graphic>
          </wp:inline>
        </w:drawing>
      </w:r>
    </w:p>
    <w:p w14:paraId="5AB6361E" w14:textId="77777777" w:rsidR="00636686" w:rsidRDefault="00636686" w:rsidP="000D4DE4">
      <w:pPr>
        <w:jc w:val="both"/>
      </w:pPr>
    </w:p>
    <w:p w14:paraId="70D7A91D" w14:textId="75D74B44" w:rsidR="00636686" w:rsidRDefault="00636686" w:rsidP="000D4DE4">
      <w:pPr>
        <w:pStyle w:val="Titre2"/>
        <w:jc w:val="both"/>
      </w:pPr>
      <w:bookmarkStart w:id="9" w:name="_Toc228780874"/>
      <w:r>
        <w:t>Recherche dans le menu</w:t>
      </w:r>
      <w:bookmarkEnd w:id="9"/>
    </w:p>
    <w:p w14:paraId="27CE0E93" w14:textId="336DF36E" w:rsidR="00636686" w:rsidRPr="00636686" w:rsidRDefault="00636686" w:rsidP="000D4DE4">
      <w:pPr>
        <w:jc w:val="both"/>
      </w:pPr>
      <w:r>
        <w:t>Il est désormais possible d</w:t>
      </w:r>
      <w:r w:rsidR="00A63D2E">
        <w:t>e saisir une recherche dans la barre dédiée pour retrouver</w:t>
      </w:r>
      <w:r w:rsidR="00E562A4">
        <w:t xml:space="preserve"> rapidement</w:t>
      </w:r>
      <w:r w:rsidR="00A63D2E">
        <w:t xml:space="preserve"> des actions présentes dans les menus d’Alma.</w:t>
      </w:r>
    </w:p>
    <w:p w14:paraId="74F40E2C" w14:textId="1C208281" w:rsidR="00636686" w:rsidRDefault="00636686" w:rsidP="000D4DE4">
      <w:pPr>
        <w:jc w:val="both"/>
      </w:pPr>
      <w:r>
        <w:rPr>
          <w:noProof/>
        </w:rPr>
        <w:drawing>
          <wp:inline distT="0" distB="0" distL="0" distR="0" wp14:anchorId="2B0C06FA" wp14:editId="04621DA6">
            <wp:extent cx="3053685" cy="2852058"/>
            <wp:effectExtent l="0" t="0" r="0" b="5715"/>
            <wp:docPr id="47902263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9074" cy="2857091"/>
                    </a:xfrm>
                    <a:prstGeom prst="rect">
                      <a:avLst/>
                    </a:prstGeom>
                    <a:noFill/>
                    <a:ln>
                      <a:noFill/>
                    </a:ln>
                  </pic:spPr>
                </pic:pic>
              </a:graphicData>
            </a:graphic>
          </wp:inline>
        </w:drawing>
      </w:r>
    </w:p>
    <w:p w14:paraId="339690C9" w14:textId="30949561" w:rsidR="00585E22" w:rsidRPr="00585E22" w:rsidRDefault="00585E22" w:rsidP="000D4DE4">
      <w:pPr>
        <w:pStyle w:val="Titre1"/>
        <w:jc w:val="both"/>
      </w:pPr>
      <w:bookmarkStart w:id="10" w:name="_Toc182394121"/>
      <w:bookmarkStart w:id="11" w:name="_Toc220413165"/>
      <w:bookmarkStart w:id="12" w:name="_Toc228780875"/>
      <w:r>
        <w:t>Circulation</w:t>
      </w:r>
      <w:bookmarkEnd w:id="10"/>
      <w:bookmarkEnd w:id="11"/>
      <w:bookmarkEnd w:id="12"/>
    </w:p>
    <w:p w14:paraId="503DF795" w14:textId="4F3372BB" w:rsidR="008E5D44" w:rsidRPr="000D4DE4" w:rsidRDefault="00B65006" w:rsidP="000D4DE4">
      <w:pPr>
        <w:pStyle w:val="Titre2"/>
        <w:jc w:val="both"/>
      </w:pPr>
      <w:bookmarkStart w:id="13" w:name="_Toc228780876"/>
      <w:r>
        <w:rPr>
          <w:rFonts w:eastAsia="Times New Roman"/>
          <w:lang w:eastAsia="fr-FR"/>
        </w:rPr>
        <w:t>Blocage de la réservation de documents pour un usager qui ne pourra pas l’emprunter</w:t>
      </w:r>
      <w:bookmarkEnd w:id="13"/>
    </w:p>
    <w:p w14:paraId="2B12F2B0" w14:textId="30A57C6F" w:rsidR="00B65006" w:rsidRDefault="00B65006" w:rsidP="000D4DE4">
      <w:pPr>
        <w:jc w:val="both"/>
        <w:rPr>
          <w:rFonts w:eastAsiaTheme="majorEastAsia" w:cstheme="minorHAnsi"/>
        </w:rPr>
      </w:pPr>
      <w:r>
        <w:rPr>
          <w:rFonts w:eastAsiaTheme="majorEastAsia" w:cstheme="minorHAnsi"/>
        </w:rPr>
        <w:t>Alma peut désormais être configuré</w:t>
      </w:r>
      <w:r w:rsidR="00E562A4">
        <w:rPr>
          <w:rFonts w:eastAsiaTheme="majorEastAsia" w:cstheme="minorHAnsi"/>
        </w:rPr>
        <w:t>e</w:t>
      </w:r>
      <w:r>
        <w:rPr>
          <w:rFonts w:eastAsiaTheme="majorEastAsia" w:cstheme="minorHAnsi"/>
        </w:rPr>
        <w:t xml:space="preserve"> pour bloquer les demandes de documents lorsqu’un usager n’est pas autorisé à emprunter ce document en fonction des conditions d’utilisation (règle</w:t>
      </w:r>
      <w:r w:rsidR="00E562A4">
        <w:rPr>
          <w:rFonts w:eastAsiaTheme="majorEastAsia" w:cstheme="minorHAnsi"/>
        </w:rPr>
        <w:t>s</w:t>
      </w:r>
      <w:r>
        <w:rPr>
          <w:rFonts w:eastAsiaTheme="majorEastAsia" w:cstheme="minorHAnsi"/>
        </w:rPr>
        <w:t xml:space="preserve"> de prêt) et des restrictions qui lui sont appliquées. Ainsi</w:t>
      </w:r>
      <w:r w:rsidR="00E562A4">
        <w:rPr>
          <w:rFonts w:eastAsiaTheme="majorEastAsia" w:cstheme="minorHAnsi"/>
        </w:rPr>
        <w:t>,</w:t>
      </w:r>
      <w:r>
        <w:rPr>
          <w:rFonts w:eastAsiaTheme="majorEastAsia" w:cstheme="minorHAnsi"/>
        </w:rPr>
        <w:t xml:space="preserve"> les usagers ne peuvent pas réserver des documents auxquels ils n’ont pas droit selon la politique de prêt de la bibliothèque.</w:t>
      </w:r>
    </w:p>
    <w:p w14:paraId="110FA146" w14:textId="08BE0930" w:rsidR="00B65006" w:rsidRDefault="00B65006" w:rsidP="000D4DE4">
      <w:pPr>
        <w:jc w:val="both"/>
        <w:rPr>
          <w:rFonts w:eastAsiaTheme="majorEastAsia" w:cstheme="minorHAnsi"/>
        </w:rPr>
      </w:pPr>
      <w:r>
        <w:rPr>
          <w:rFonts w:eastAsiaTheme="majorEastAsia" w:cstheme="minorHAnsi"/>
        </w:rPr>
        <w:t>Cette configuration est à mettre en place par le SICD dans Configuration &gt; Services aux usagers &gt; Général &gt; Autres paramètres.</w:t>
      </w:r>
    </w:p>
    <w:p w14:paraId="447AFA6F" w14:textId="77777777" w:rsidR="00B65006" w:rsidRDefault="00B65006" w:rsidP="000D4DE4">
      <w:pPr>
        <w:jc w:val="both"/>
        <w:rPr>
          <w:rFonts w:eastAsiaTheme="majorEastAsia" w:cstheme="minorHAnsi"/>
        </w:rPr>
      </w:pPr>
    </w:p>
    <w:p w14:paraId="67D34FA3" w14:textId="5D423F15" w:rsidR="00B65006" w:rsidRDefault="00B65006" w:rsidP="000D4DE4">
      <w:pPr>
        <w:jc w:val="both"/>
        <w:rPr>
          <w:rFonts w:eastAsiaTheme="majorEastAsia" w:cstheme="minorHAnsi"/>
        </w:rPr>
      </w:pPr>
      <w:r w:rsidRPr="00E562A4">
        <w:rPr>
          <w:rFonts w:eastAsiaTheme="majorEastAsia" w:cstheme="minorHAnsi"/>
        </w:rPr>
        <w:lastRenderedPageBreak/>
        <w:t>A tester plus en détail par le SICD, pour voir à quels cas p</w:t>
      </w:r>
      <w:r w:rsidR="00E562A4">
        <w:rPr>
          <w:rFonts w:eastAsiaTheme="majorEastAsia" w:cstheme="minorHAnsi"/>
        </w:rPr>
        <w:t>ourrai</w:t>
      </w:r>
      <w:r w:rsidRPr="00E562A4">
        <w:rPr>
          <w:rFonts w:eastAsiaTheme="majorEastAsia" w:cstheme="minorHAnsi"/>
        </w:rPr>
        <w:t xml:space="preserve">t s’appliquer ce </w:t>
      </w:r>
      <w:r w:rsidR="007A414E" w:rsidRPr="00E562A4">
        <w:rPr>
          <w:rFonts w:eastAsiaTheme="majorEastAsia" w:cstheme="minorHAnsi"/>
        </w:rPr>
        <w:t>paramétrage</w:t>
      </w:r>
      <w:r w:rsidRPr="00E562A4">
        <w:rPr>
          <w:rFonts w:eastAsiaTheme="majorEastAsia" w:cstheme="minorHAnsi"/>
        </w:rPr>
        <w:t>.</w:t>
      </w:r>
      <w:r w:rsidR="00E562A4">
        <w:rPr>
          <w:rFonts w:eastAsiaTheme="majorEastAsia" w:cstheme="minorHAnsi"/>
        </w:rPr>
        <w:t xml:space="preserve"> Cela sera abordé en réunion circulation.</w:t>
      </w:r>
    </w:p>
    <w:p w14:paraId="2CA9B480" w14:textId="77777777" w:rsidR="00B65006" w:rsidRDefault="00B65006" w:rsidP="000D4DE4">
      <w:pPr>
        <w:jc w:val="both"/>
        <w:rPr>
          <w:rFonts w:eastAsiaTheme="majorEastAsia" w:cstheme="minorHAnsi"/>
        </w:rPr>
      </w:pPr>
    </w:p>
    <w:p w14:paraId="5A2D7B0D" w14:textId="6D418BE6" w:rsidR="007A414E" w:rsidRDefault="007A414E" w:rsidP="000D4DE4">
      <w:pPr>
        <w:pStyle w:val="Titre2"/>
        <w:jc w:val="both"/>
      </w:pPr>
      <w:bookmarkStart w:id="14" w:name="_Toc228780877"/>
      <w:r>
        <w:t>Visibilité des motifs de blocage d’une réservation pour un usager donné</w:t>
      </w:r>
      <w:bookmarkEnd w:id="14"/>
    </w:p>
    <w:p w14:paraId="31FB663E" w14:textId="2FFD786C" w:rsidR="007A414E" w:rsidRDefault="007A414E" w:rsidP="000D4DE4">
      <w:pPr>
        <w:jc w:val="both"/>
      </w:pPr>
      <w:r>
        <w:t>L’affichage des informations de blocage lors de la création d’une demande de réservation a changé.</w:t>
      </w:r>
    </w:p>
    <w:p w14:paraId="2991809D" w14:textId="560E1F83" w:rsidR="007A414E" w:rsidRPr="007A414E" w:rsidRDefault="007A414E" w:rsidP="000D4DE4">
      <w:pPr>
        <w:jc w:val="both"/>
      </w:pPr>
      <w:r>
        <w:t>Auparavant, elles apparaissaient au moment où le nom était saisi dans le champ</w:t>
      </w:r>
      <w:proofErr w:type="gramStart"/>
      <w:r>
        <w:t xml:space="preserve"> «demandeur</w:t>
      </w:r>
      <w:proofErr w:type="gramEnd"/>
      <w:r>
        <w:t>». Maintenant, elles n’app</w:t>
      </w:r>
      <w:r>
        <w:tab/>
        <w:t>paraissent que quand on clique sur</w:t>
      </w:r>
      <w:r w:rsidR="005567F2">
        <w:t xml:space="preserve"> « calculer</w:t>
      </w:r>
      <w:r w:rsidR="009F6DD9">
        <w:t xml:space="preserve"> les </w:t>
      </w:r>
      <w:proofErr w:type="gramStart"/>
      <w:r w:rsidR="009F6DD9">
        <w:t>blocages»</w:t>
      </w:r>
      <w:proofErr w:type="gramEnd"/>
      <w:r w:rsidR="009F6DD9">
        <w:t>.</w:t>
      </w:r>
    </w:p>
    <w:p w14:paraId="4CCCE141" w14:textId="6E3B9497" w:rsidR="007A414E" w:rsidRDefault="007A414E" w:rsidP="000D4DE4">
      <w:pPr>
        <w:jc w:val="both"/>
        <w:rPr>
          <w:rFonts w:eastAsiaTheme="majorEastAsia" w:cstheme="minorHAnsi"/>
        </w:rPr>
      </w:pPr>
      <w:r>
        <w:rPr>
          <w:rFonts w:eastAsiaTheme="majorEastAsia" w:cstheme="minorHAnsi"/>
          <w:noProof/>
        </w:rPr>
        <w:drawing>
          <wp:inline distT="0" distB="0" distL="0" distR="0" wp14:anchorId="62C91081" wp14:editId="0D014288">
            <wp:extent cx="3359318" cy="2161309"/>
            <wp:effectExtent l="0" t="0" r="0" b="0"/>
            <wp:docPr id="6758543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0045" cy="2168210"/>
                    </a:xfrm>
                    <a:prstGeom prst="rect">
                      <a:avLst/>
                    </a:prstGeom>
                    <a:noFill/>
                    <a:ln>
                      <a:noFill/>
                    </a:ln>
                  </pic:spPr>
                </pic:pic>
              </a:graphicData>
            </a:graphic>
          </wp:inline>
        </w:drawing>
      </w:r>
    </w:p>
    <w:p w14:paraId="2BD5A827" w14:textId="792685A7" w:rsidR="007A414E" w:rsidRDefault="007A414E" w:rsidP="000D4DE4">
      <w:pPr>
        <w:jc w:val="both"/>
        <w:rPr>
          <w:rFonts w:eastAsiaTheme="majorEastAsia" w:cstheme="minorHAnsi"/>
        </w:rPr>
      </w:pPr>
      <w:r>
        <w:rPr>
          <w:rFonts w:eastAsiaTheme="majorEastAsia" w:cstheme="minorHAnsi"/>
          <w:noProof/>
        </w:rPr>
        <w:drawing>
          <wp:inline distT="0" distB="0" distL="0" distR="0" wp14:anchorId="3349C916" wp14:editId="281A1E18">
            <wp:extent cx="3650494" cy="1383476"/>
            <wp:effectExtent l="0" t="0" r="7620" b="7620"/>
            <wp:docPr id="19208747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6080" cy="1389383"/>
                    </a:xfrm>
                    <a:prstGeom prst="rect">
                      <a:avLst/>
                    </a:prstGeom>
                    <a:noFill/>
                    <a:ln>
                      <a:noFill/>
                    </a:ln>
                  </pic:spPr>
                </pic:pic>
              </a:graphicData>
            </a:graphic>
          </wp:inline>
        </w:drawing>
      </w:r>
    </w:p>
    <w:p w14:paraId="2AEA2649" w14:textId="77777777" w:rsidR="009F6DD9" w:rsidRDefault="009F6DD9" w:rsidP="000D4DE4">
      <w:pPr>
        <w:jc w:val="both"/>
        <w:rPr>
          <w:rFonts w:eastAsiaTheme="majorEastAsia" w:cstheme="minorHAnsi"/>
        </w:rPr>
      </w:pPr>
    </w:p>
    <w:p w14:paraId="61BE1454" w14:textId="70F34201" w:rsidR="009F6DD9" w:rsidRDefault="009F6DD9" w:rsidP="000D4DE4">
      <w:pPr>
        <w:jc w:val="both"/>
        <w:rPr>
          <w:rFonts w:eastAsiaTheme="majorEastAsia" w:cstheme="minorHAnsi"/>
        </w:rPr>
      </w:pPr>
      <w:r>
        <w:rPr>
          <w:rFonts w:eastAsiaTheme="majorEastAsia" w:cstheme="minorHAnsi"/>
        </w:rPr>
        <w:t xml:space="preserve">Après des tests dans la </w:t>
      </w:r>
      <w:proofErr w:type="spellStart"/>
      <w:r>
        <w:rPr>
          <w:rFonts w:eastAsiaTheme="majorEastAsia" w:cstheme="minorHAnsi"/>
        </w:rPr>
        <w:t>sandbox</w:t>
      </w:r>
      <w:proofErr w:type="spellEnd"/>
      <w:r>
        <w:rPr>
          <w:rFonts w:eastAsiaTheme="majorEastAsia" w:cstheme="minorHAnsi"/>
        </w:rPr>
        <w:t>, les informations apparaissent finalement deux fois, au moment de la saisie du nom et après avoir clique sur</w:t>
      </w:r>
      <w:r w:rsidR="005567F2">
        <w:rPr>
          <w:rFonts w:eastAsiaTheme="majorEastAsia" w:cstheme="minorHAnsi"/>
        </w:rPr>
        <w:t xml:space="preserve"> </w:t>
      </w:r>
      <w:r w:rsidR="005567F2">
        <w:t>« calculer</w:t>
      </w:r>
      <w:r>
        <w:t xml:space="preserve"> les </w:t>
      </w:r>
      <w:r w:rsidR="005567F2">
        <w:t>blocages »</w:t>
      </w:r>
      <w:r>
        <w:t>.</w:t>
      </w:r>
      <w:r w:rsidR="009F7E93">
        <w:t xml:space="preserve"> </w:t>
      </w:r>
      <w:r w:rsidR="009F7E93" w:rsidRPr="00E562A4">
        <w:t>A vérifier sur la base de production.</w:t>
      </w:r>
    </w:p>
    <w:p w14:paraId="3359C057" w14:textId="77777777" w:rsidR="009F6DD9" w:rsidRDefault="009F6DD9" w:rsidP="000D4DE4">
      <w:pPr>
        <w:jc w:val="both"/>
        <w:rPr>
          <w:rFonts w:eastAsiaTheme="majorEastAsia" w:cstheme="minorHAnsi"/>
        </w:rPr>
      </w:pPr>
    </w:p>
    <w:p w14:paraId="65374361" w14:textId="648B126F" w:rsidR="009F7E93" w:rsidRDefault="009F7E93" w:rsidP="000D4DE4">
      <w:pPr>
        <w:jc w:val="both"/>
        <w:rPr>
          <w:rFonts w:eastAsiaTheme="majorEastAsia" w:cstheme="minorHAnsi"/>
        </w:rPr>
      </w:pPr>
      <w:r>
        <w:rPr>
          <w:rFonts w:eastAsiaTheme="majorEastAsia" w:cstheme="minorHAnsi"/>
        </w:rPr>
        <w:t xml:space="preserve">A noter pour le SICD : </w:t>
      </w:r>
      <w:r w:rsidRPr="009F7E93">
        <w:rPr>
          <w:rFonts w:eastAsiaTheme="majorEastAsia" w:cstheme="minorHAnsi"/>
        </w:rPr>
        <w:t xml:space="preserve">Si le paramètre </w:t>
      </w:r>
      <w:proofErr w:type="spellStart"/>
      <w:r w:rsidRPr="009F7E93">
        <w:rPr>
          <w:rFonts w:eastAsiaTheme="majorEastAsia" w:cstheme="minorHAnsi"/>
        </w:rPr>
        <w:t>pop_override_hold</w:t>
      </w:r>
      <w:proofErr w:type="spellEnd"/>
      <w:r w:rsidRPr="009F7E93">
        <w:rPr>
          <w:rFonts w:eastAsiaTheme="majorEastAsia" w:cstheme="minorHAnsi"/>
        </w:rPr>
        <w:t xml:space="preserve"> </w:t>
      </w:r>
      <w:proofErr w:type="gramStart"/>
      <w:r w:rsidRPr="009F7E93">
        <w:rPr>
          <w:rFonts w:eastAsiaTheme="majorEastAsia" w:cstheme="minorHAnsi"/>
        </w:rPr>
        <w:t>( Configuration</w:t>
      </w:r>
      <w:proofErr w:type="gramEnd"/>
      <w:r w:rsidRPr="009F7E93">
        <w:rPr>
          <w:rFonts w:eastAsiaTheme="majorEastAsia" w:cstheme="minorHAnsi"/>
        </w:rPr>
        <w:t xml:space="preserve"> &gt; </w:t>
      </w:r>
      <w:r>
        <w:rPr>
          <w:rFonts w:eastAsiaTheme="majorEastAsia" w:cstheme="minorHAnsi"/>
        </w:rPr>
        <w:t>Services aux usagers</w:t>
      </w:r>
      <w:r w:rsidRPr="009F7E93">
        <w:rPr>
          <w:rFonts w:eastAsiaTheme="majorEastAsia" w:cstheme="minorHAnsi"/>
        </w:rPr>
        <w:t xml:space="preserve"> &gt; Général &gt; Autres paramètres) est défini sur false (</w:t>
      </w:r>
      <w:proofErr w:type="spellStart"/>
      <w:r w:rsidRPr="009F7E93">
        <w:rPr>
          <w:rFonts w:eastAsiaTheme="majorEastAsia" w:cstheme="minorHAnsi"/>
        </w:rPr>
        <w:t>true</w:t>
      </w:r>
      <w:proofErr w:type="spellEnd"/>
      <w:r w:rsidRPr="009F7E93">
        <w:rPr>
          <w:rFonts w:eastAsiaTheme="majorEastAsia" w:cstheme="minorHAnsi"/>
        </w:rPr>
        <w:t xml:space="preserve"> par défaut), le bouton Calculer les blocs n’apparaîtra pas.</w:t>
      </w:r>
    </w:p>
    <w:p w14:paraId="7178DF72" w14:textId="77777777" w:rsidR="009F6DD9" w:rsidRDefault="009F6DD9" w:rsidP="000D4DE4">
      <w:pPr>
        <w:jc w:val="both"/>
        <w:rPr>
          <w:rFonts w:eastAsiaTheme="majorEastAsia" w:cstheme="minorHAnsi"/>
        </w:rPr>
      </w:pPr>
    </w:p>
    <w:p w14:paraId="1B0B42E5" w14:textId="6D13B5A4" w:rsidR="00271501" w:rsidRDefault="00271501" w:rsidP="000D4DE4">
      <w:pPr>
        <w:pStyle w:val="Titre2"/>
        <w:jc w:val="both"/>
      </w:pPr>
      <w:bookmarkStart w:id="15" w:name="_Toc228780878"/>
      <w:r>
        <w:t>Ajustement automatique de la date de retour des prêts lorsque la date d’expiration d’un dossier est avancée</w:t>
      </w:r>
      <w:bookmarkEnd w:id="15"/>
    </w:p>
    <w:p w14:paraId="03FE9C21" w14:textId="1366FE0D" w:rsidR="00905789" w:rsidRDefault="00271501" w:rsidP="000D4DE4">
      <w:pPr>
        <w:jc w:val="both"/>
        <w:rPr>
          <w:rFonts w:eastAsiaTheme="majorEastAsia" w:cstheme="minorHAnsi"/>
        </w:rPr>
      </w:pPr>
      <w:r>
        <w:rPr>
          <w:rFonts w:eastAsiaTheme="majorEastAsia" w:cstheme="minorHAnsi"/>
        </w:rPr>
        <w:t xml:space="preserve">Alma peut désormais mettre à jour automatiquement les dates de retour des prêts d’un usager lorsque la </w:t>
      </w:r>
      <w:r w:rsidR="002A003D">
        <w:rPr>
          <w:rFonts w:eastAsiaTheme="majorEastAsia" w:cstheme="minorHAnsi"/>
        </w:rPr>
        <w:t>date d’expiration du dossier d’un usager est avancée. Ainsi si la date d’échéance d’un prêt dépasse la nouvelle date d’expiration du compte de l’usager alors le système peut l’ajuster afin que le prêt ne dépasse pas la période d’activité du compte.</w:t>
      </w:r>
    </w:p>
    <w:p w14:paraId="6A4E67B8" w14:textId="517AE6E3" w:rsidR="000925F5" w:rsidRDefault="00846CDE" w:rsidP="000D4DE4">
      <w:pPr>
        <w:jc w:val="both"/>
        <w:rPr>
          <w:rFonts w:eastAsiaTheme="majorEastAsia" w:cstheme="minorHAnsi"/>
        </w:rPr>
      </w:pPr>
      <w:r>
        <w:rPr>
          <w:rFonts w:eastAsiaTheme="majorEastAsia" w:cstheme="minorHAnsi"/>
        </w:rPr>
        <w:lastRenderedPageBreak/>
        <w:t>Cependant, l</w:t>
      </w:r>
      <w:r w:rsidR="00C0092C">
        <w:rPr>
          <w:rFonts w:eastAsiaTheme="majorEastAsia" w:cstheme="minorHAnsi"/>
        </w:rPr>
        <w:t>es dates de retour qui</w:t>
      </w:r>
      <w:r>
        <w:rPr>
          <w:rFonts w:eastAsiaTheme="majorEastAsia" w:cstheme="minorHAnsi"/>
        </w:rPr>
        <w:t xml:space="preserve"> auraient été fixées intentionnellement</w:t>
      </w:r>
      <w:r w:rsidR="00905789">
        <w:rPr>
          <w:rFonts w:eastAsiaTheme="majorEastAsia" w:cstheme="minorHAnsi"/>
        </w:rPr>
        <w:t xml:space="preserve"> et manuellement</w:t>
      </w:r>
      <w:r w:rsidR="00D34755">
        <w:rPr>
          <w:rFonts w:eastAsiaTheme="majorEastAsia" w:cstheme="minorHAnsi"/>
        </w:rPr>
        <w:t xml:space="preserve"> (comme expliqué ci-dessous),</w:t>
      </w:r>
      <w:r>
        <w:rPr>
          <w:rFonts w:eastAsiaTheme="majorEastAsia" w:cstheme="minorHAnsi"/>
        </w:rPr>
        <w:t xml:space="preserve"> au-delà de la date d’expiration du dossier</w:t>
      </w:r>
      <w:r w:rsidR="00E562A4">
        <w:rPr>
          <w:rFonts w:eastAsiaTheme="majorEastAsia" w:cstheme="minorHAnsi"/>
        </w:rPr>
        <w:t>,</w:t>
      </w:r>
      <w:r>
        <w:rPr>
          <w:rFonts w:eastAsiaTheme="majorEastAsia" w:cstheme="minorHAnsi"/>
        </w:rPr>
        <w:t xml:space="preserve"> ne seront pas modifiées</w:t>
      </w:r>
    </w:p>
    <w:p w14:paraId="25AC0DFE" w14:textId="643A4162" w:rsidR="00846CDE" w:rsidRPr="009A7C1E" w:rsidRDefault="00846CDE" w:rsidP="000D4DE4">
      <w:pPr>
        <w:jc w:val="both"/>
        <w:rPr>
          <w:rFonts w:eastAsiaTheme="majorEastAsia" w:cstheme="minorHAnsi"/>
          <w:i/>
          <w:iCs/>
        </w:rPr>
      </w:pPr>
      <w:r w:rsidRPr="009A7C1E">
        <w:rPr>
          <w:rFonts w:eastAsiaTheme="majorEastAsia" w:cstheme="minorHAnsi"/>
          <w:i/>
          <w:iCs/>
        </w:rPr>
        <w:t>Pour rappel, il est possible en banque de prêt de prêter volontairement un document au-delà de la date d’expiration du dossier de l’usager.</w:t>
      </w:r>
    </w:p>
    <w:p w14:paraId="408CE7ED" w14:textId="040DAA37" w:rsidR="00846CDE" w:rsidRPr="009A7C1E" w:rsidRDefault="00846CDE" w:rsidP="000D4DE4">
      <w:pPr>
        <w:jc w:val="both"/>
        <w:rPr>
          <w:rFonts w:eastAsiaTheme="majorEastAsia" w:cstheme="minorHAnsi"/>
          <w:i/>
          <w:iCs/>
        </w:rPr>
      </w:pPr>
      <w:r w:rsidRPr="009A7C1E">
        <w:rPr>
          <w:rFonts w:eastAsiaTheme="majorEastAsia" w:cstheme="minorHAnsi"/>
          <w:i/>
          <w:iCs/>
        </w:rPr>
        <w:t>Voici le message affiché par Alma quand le cas se produit :</w:t>
      </w:r>
    </w:p>
    <w:p w14:paraId="46A729FB" w14:textId="12E59361" w:rsidR="00846CDE" w:rsidRPr="009A7C1E" w:rsidRDefault="00846CDE" w:rsidP="000D4DE4">
      <w:pPr>
        <w:jc w:val="both"/>
        <w:rPr>
          <w:rFonts w:eastAsiaTheme="majorEastAsia" w:cstheme="minorHAnsi"/>
          <w:i/>
          <w:iCs/>
        </w:rPr>
      </w:pPr>
      <w:r w:rsidRPr="009A7C1E">
        <w:rPr>
          <w:rFonts w:eastAsiaTheme="majorEastAsia" w:cstheme="minorHAnsi"/>
          <w:i/>
          <w:iCs/>
          <w:noProof/>
        </w:rPr>
        <w:drawing>
          <wp:inline distT="0" distB="0" distL="0" distR="0" wp14:anchorId="0C539B67" wp14:editId="0ACB8665">
            <wp:extent cx="4180115" cy="1387382"/>
            <wp:effectExtent l="0" t="0" r="0" b="3810"/>
            <wp:docPr id="17787174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17442" name=""/>
                    <pic:cNvPicPr/>
                  </pic:nvPicPr>
                  <pic:blipFill>
                    <a:blip r:embed="rId19"/>
                    <a:stretch>
                      <a:fillRect/>
                    </a:stretch>
                  </pic:blipFill>
                  <pic:spPr>
                    <a:xfrm>
                      <a:off x="0" y="0"/>
                      <a:ext cx="4197910" cy="1393288"/>
                    </a:xfrm>
                    <a:prstGeom prst="rect">
                      <a:avLst/>
                    </a:prstGeom>
                  </pic:spPr>
                </pic:pic>
              </a:graphicData>
            </a:graphic>
          </wp:inline>
        </w:drawing>
      </w:r>
    </w:p>
    <w:p w14:paraId="365E40A3" w14:textId="2689A550" w:rsidR="00846CDE" w:rsidRPr="009A7C1E" w:rsidRDefault="00846CDE" w:rsidP="000D4DE4">
      <w:pPr>
        <w:jc w:val="both"/>
        <w:rPr>
          <w:rFonts w:eastAsiaTheme="majorEastAsia" w:cstheme="minorHAnsi"/>
          <w:i/>
          <w:iCs/>
        </w:rPr>
      </w:pPr>
      <w:r w:rsidRPr="009A7C1E">
        <w:rPr>
          <w:rFonts w:eastAsiaTheme="majorEastAsia" w:cstheme="minorHAnsi"/>
          <w:i/>
          <w:iCs/>
        </w:rPr>
        <w:t>En cliquant sur « ne pas prolonger » la date de retour du document sera antérieure à la date d’expiration du dossier.</w:t>
      </w:r>
    </w:p>
    <w:p w14:paraId="1BFCDBB3" w14:textId="7901FDF9" w:rsidR="00846CDE" w:rsidRPr="009A7C1E" w:rsidRDefault="00846CDE" w:rsidP="000D4DE4">
      <w:pPr>
        <w:jc w:val="both"/>
        <w:rPr>
          <w:rFonts w:eastAsiaTheme="majorEastAsia" w:cstheme="minorHAnsi"/>
          <w:i/>
          <w:iCs/>
        </w:rPr>
      </w:pPr>
      <w:r w:rsidRPr="009A7C1E">
        <w:rPr>
          <w:rFonts w:eastAsiaTheme="majorEastAsia" w:cstheme="minorHAnsi"/>
          <w:i/>
          <w:iCs/>
        </w:rPr>
        <w:t xml:space="preserve">En cliquant sur « prolonger », la date </w:t>
      </w:r>
      <w:r w:rsidR="009A7C1E" w:rsidRPr="009A7C1E">
        <w:rPr>
          <w:rFonts w:eastAsiaTheme="majorEastAsia" w:cstheme="minorHAnsi"/>
          <w:i/>
          <w:iCs/>
        </w:rPr>
        <w:t xml:space="preserve">de retour du document </w:t>
      </w:r>
      <w:r w:rsidRPr="009A7C1E">
        <w:rPr>
          <w:rFonts w:eastAsiaTheme="majorEastAsia" w:cstheme="minorHAnsi"/>
          <w:i/>
          <w:iCs/>
        </w:rPr>
        <w:t>sera postérieure</w:t>
      </w:r>
      <w:r w:rsidR="009A7C1E" w:rsidRPr="009A7C1E">
        <w:rPr>
          <w:rFonts w:eastAsiaTheme="majorEastAsia" w:cstheme="minorHAnsi"/>
          <w:i/>
          <w:iCs/>
        </w:rPr>
        <w:t xml:space="preserve"> à la date d’expiration du dossier.</w:t>
      </w:r>
    </w:p>
    <w:p w14:paraId="31B159A0" w14:textId="510CAAB9" w:rsidR="009A7C1E" w:rsidRDefault="009A7C1E" w:rsidP="000D4DE4">
      <w:pPr>
        <w:jc w:val="both"/>
        <w:rPr>
          <w:rFonts w:eastAsiaTheme="majorEastAsia" w:cstheme="minorHAnsi"/>
        </w:rPr>
      </w:pPr>
      <w:r w:rsidRPr="009A7C1E">
        <w:rPr>
          <w:rFonts w:eastAsiaTheme="majorEastAsia" w:cstheme="minorHAnsi"/>
          <w:i/>
          <w:iCs/>
        </w:rPr>
        <w:t>Pour le SICD, cela se paramètre à l’aide de à l'aide du paramètre `</w:t>
      </w:r>
      <w:proofErr w:type="spellStart"/>
      <w:r w:rsidRPr="009A7C1E">
        <w:rPr>
          <w:rFonts w:eastAsiaTheme="majorEastAsia" w:cstheme="minorHAnsi"/>
          <w:i/>
          <w:iCs/>
        </w:rPr>
        <w:t>extend_due_date_beyond_user_expiry</w:t>
      </w:r>
      <w:proofErr w:type="spellEnd"/>
      <w:r>
        <w:rPr>
          <w:rFonts w:eastAsiaTheme="majorEastAsia" w:cstheme="minorHAnsi"/>
        </w:rPr>
        <w:t xml:space="preserve"> </w:t>
      </w:r>
    </w:p>
    <w:p w14:paraId="3B649041" w14:textId="77777777" w:rsidR="00846CDE" w:rsidRDefault="00846CDE" w:rsidP="000D4DE4">
      <w:pPr>
        <w:jc w:val="both"/>
        <w:rPr>
          <w:rFonts w:eastAsiaTheme="majorEastAsia" w:cstheme="minorHAnsi"/>
        </w:rPr>
      </w:pPr>
    </w:p>
    <w:p w14:paraId="3C8B3162" w14:textId="785E991E" w:rsidR="0029493C" w:rsidRDefault="0029493C" w:rsidP="000D4DE4">
      <w:pPr>
        <w:jc w:val="both"/>
        <w:rPr>
          <w:rFonts w:eastAsiaTheme="majorEastAsia" w:cstheme="minorHAnsi"/>
        </w:rPr>
      </w:pPr>
      <w:r>
        <w:rPr>
          <w:rFonts w:eastAsiaTheme="majorEastAsia" w:cstheme="minorHAnsi"/>
        </w:rPr>
        <w:t>Cette fonctionnalité permettrait de ne pas laisser les prêts actifs alors que le dossier de l’usager est périmé.</w:t>
      </w:r>
    </w:p>
    <w:p w14:paraId="01CC62D3" w14:textId="4BB0110E" w:rsidR="00905789" w:rsidRDefault="00905789" w:rsidP="000D4DE4">
      <w:pPr>
        <w:jc w:val="both"/>
        <w:rPr>
          <w:rFonts w:eastAsiaTheme="majorEastAsia" w:cstheme="minorHAnsi"/>
        </w:rPr>
      </w:pPr>
      <w:r>
        <w:rPr>
          <w:rFonts w:eastAsiaTheme="majorEastAsia" w:cstheme="minorHAnsi"/>
        </w:rPr>
        <w:t xml:space="preserve">Pour le SICD, ce paramétrage se fait dans Configuration &gt; Services aux usagers &gt; Général &gt; </w:t>
      </w:r>
      <w:r w:rsidRPr="00905789">
        <w:rPr>
          <w:rFonts w:eastAsiaTheme="majorEastAsia" w:cstheme="minorHAnsi"/>
        </w:rPr>
        <w:t>Configuration des traitements pour les services aux usagers</w:t>
      </w:r>
    </w:p>
    <w:p w14:paraId="18F7E995" w14:textId="77777777" w:rsidR="00905789" w:rsidRDefault="00905789" w:rsidP="000D4DE4">
      <w:pPr>
        <w:jc w:val="both"/>
        <w:rPr>
          <w:rFonts w:eastAsiaTheme="majorEastAsia" w:cstheme="minorHAnsi"/>
        </w:rPr>
      </w:pPr>
      <w:r>
        <w:rPr>
          <w:noProof/>
        </w:rPr>
        <w:drawing>
          <wp:inline distT="0" distB="0" distL="0" distR="0" wp14:anchorId="79C8C40E" wp14:editId="18705283">
            <wp:extent cx="6400800" cy="457200"/>
            <wp:effectExtent l="0" t="0" r="0" b="0"/>
            <wp:docPr id="837907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8697" cy="462764"/>
                    </a:xfrm>
                    <a:prstGeom prst="rect">
                      <a:avLst/>
                    </a:prstGeom>
                    <a:noFill/>
                    <a:ln>
                      <a:noFill/>
                    </a:ln>
                  </pic:spPr>
                </pic:pic>
              </a:graphicData>
            </a:graphic>
          </wp:inline>
        </w:drawing>
      </w:r>
    </w:p>
    <w:p w14:paraId="7BC71F1A" w14:textId="77777777" w:rsidR="00905789" w:rsidRDefault="00905789" w:rsidP="000D4DE4">
      <w:pPr>
        <w:jc w:val="both"/>
        <w:rPr>
          <w:rFonts w:eastAsiaTheme="majorEastAsia" w:cstheme="minorHAnsi"/>
        </w:rPr>
      </w:pPr>
    </w:p>
    <w:p w14:paraId="28599A23" w14:textId="38BB6A1E" w:rsidR="0029493C" w:rsidRDefault="0029493C" w:rsidP="000D4DE4">
      <w:pPr>
        <w:jc w:val="both"/>
        <w:rPr>
          <w:rFonts w:eastAsiaTheme="majorEastAsia" w:cstheme="minorHAnsi"/>
        </w:rPr>
      </w:pPr>
      <w:r>
        <w:rPr>
          <w:rFonts w:eastAsiaTheme="majorEastAsia" w:cstheme="minorHAnsi"/>
        </w:rPr>
        <w:t>Il faudra décider lors d’une réunion circulation, si on active cette possibilité ou pas. Si elle est activée, une notification (lettre d’avis de statut de prêt) sera envoyée</w:t>
      </w:r>
      <w:r w:rsidR="000D4DE4">
        <w:rPr>
          <w:rFonts w:eastAsiaTheme="majorEastAsia" w:cstheme="minorHAnsi"/>
        </w:rPr>
        <w:t xml:space="preserve"> à l’usager pour le prévenir.</w:t>
      </w:r>
    </w:p>
    <w:p w14:paraId="3CA7A08D" w14:textId="77777777" w:rsidR="00846CDE" w:rsidRDefault="00846CDE" w:rsidP="000D4DE4">
      <w:pPr>
        <w:jc w:val="both"/>
        <w:rPr>
          <w:rFonts w:eastAsiaTheme="majorEastAsia" w:cstheme="minorHAnsi"/>
        </w:rPr>
      </w:pPr>
    </w:p>
    <w:p w14:paraId="544C0D99" w14:textId="7E909CE6" w:rsidR="007565E4" w:rsidRDefault="007565E4" w:rsidP="000D4DE4">
      <w:pPr>
        <w:pStyle w:val="Titre1"/>
        <w:jc w:val="both"/>
      </w:pPr>
      <w:bookmarkStart w:id="16" w:name="_Toc220413168"/>
      <w:bookmarkStart w:id="17" w:name="_Toc228780879"/>
      <w:r>
        <w:t>Acquisitions</w:t>
      </w:r>
      <w:bookmarkEnd w:id="16"/>
      <w:bookmarkEnd w:id="17"/>
    </w:p>
    <w:p w14:paraId="4DC205BF" w14:textId="0B07A597" w:rsidR="007565E4" w:rsidRDefault="007565E4" w:rsidP="000D4DE4">
      <w:pPr>
        <w:pStyle w:val="Titre2"/>
        <w:jc w:val="both"/>
      </w:pPr>
      <w:bookmarkStart w:id="18" w:name="_Toc220413169"/>
      <w:bookmarkStart w:id="19" w:name="_Toc228780880"/>
      <w:r>
        <w:rPr>
          <w:rFonts w:eastAsia="Times New Roman"/>
          <w:lang w:eastAsia="fr-FR"/>
        </w:rPr>
        <w:t>Assistant d’Intelligence Artificielle (version Bêta) pour le suivi du budget</w:t>
      </w:r>
      <w:bookmarkEnd w:id="18"/>
      <w:bookmarkEnd w:id="19"/>
    </w:p>
    <w:p w14:paraId="5181BB77" w14:textId="77777777" w:rsidR="007565E4" w:rsidRDefault="007565E4" w:rsidP="000D4DE4">
      <w:pPr>
        <w:jc w:val="both"/>
        <w:rPr>
          <w:rFonts w:eastAsiaTheme="majorEastAsia" w:cstheme="minorHAnsi"/>
        </w:rPr>
      </w:pPr>
    </w:p>
    <w:p w14:paraId="68B98992" w14:textId="6061DBCA" w:rsidR="000D2790" w:rsidRDefault="000D2790" w:rsidP="000D4DE4">
      <w:pPr>
        <w:jc w:val="both"/>
        <w:rPr>
          <w:rFonts w:eastAsiaTheme="majorEastAsia" w:cstheme="minorHAnsi"/>
        </w:rPr>
      </w:pPr>
      <w:r>
        <w:rPr>
          <w:rFonts w:eastAsiaTheme="majorEastAsia" w:cstheme="minorHAnsi"/>
        </w:rPr>
        <w:t>Comme évoqué dans la release précédente, il y a un assistant d’Intelligence Artificielle pour le suivi budgétaire.</w:t>
      </w:r>
    </w:p>
    <w:p w14:paraId="3566DE22" w14:textId="4D679A94" w:rsidR="000D2790" w:rsidRDefault="000D2790" w:rsidP="000D4DE4">
      <w:pPr>
        <w:jc w:val="both"/>
        <w:rPr>
          <w:rFonts w:eastAsiaTheme="majorEastAsia" w:cstheme="minorHAnsi"/>
        </w:rPr>
      </w:pPr>
      <w:r>
        <w:rPr>
          <w:rFonts w:eastAsiaTheme="majorEastAsia" w:cstheme="minorHAnsi"/>
        </w:rPr>
        <w:t>En plus des questions qui peuvent être posées, il est maintenant possible de faire des actions sur le compte (ajouter une allocation, transférer de l’argent, visualiser les transactions…)</w:t>
      </w:r>
    </w:p>
    <w:p w14:paraId="20D1CEA8" w14:textId="02A83E15" w:rsidR="000D2790" w:rsidRDefault="000D2790" w:rsidP="000D4DE4">
      <w:pPr>
        <w:jc w:val="both"/>
        <w:rPr>
          <w:rFonts w:eastAsiaTheme="majorEastAsia" w:cstheme="minorHAnsi"/>
        </w:rPr>
      </w:pPr>
      <w:r>
        <w:rPr>
          <w:noProof/>
        </w:rPr>
        <w:lastRenderedPageBreak/>
        <w:drawing>
          <wp:inline distT="0" distB="0" distL="0" distR="0" wp14:anchorId="2F9D85A0" wp14:editId="6D364AF9">
            <wp:extent cx="2176964" cy="4269179"/>
            <wp:effectExtent l="0" t="0" r="0" b="0"/>
            <wp:docPr id="190225976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5563" cy="4286042"/>
                    </a:xfrm>
                    <a:prstGeom prst="rect">
                      <a:avLst/>
                    </a:prstGeom>
                    <a:noFill/>
                    <a:ln>
                      <a:noFill/>
                    </a:ln>
                  </pic:spPr>
                </pic:pic>
              </a:graphicData>
            </a:graphic>
          </wp:inline>
        </w:drawing>
      </w:r>
    </w:p>
    <w:p w14:paraId="7A2FEE17" w14:textId="0F3755C6" w:rsidR="00F64BEE" w:rsidRDefault="009F68C1" w:rsidP="000D4DE4">
      <w:pPr>
        <w:pStyle w:val="Titre1"/>
        <w:jc w:val="both"/>
      </w:pPr>
      <w:bookmarkStart w:id="20" w:name="_Toc172815775"/>
      <w:bookmarkStart w:id="21" w:name="_Toc182394126"/>
      <w:bookmarkStart w:id="22" w:name="_Toc220413175"/>
      <w:bookmarkStart w:id="23" w:name="_Toc228780881"/>
      <w:r>
        <w:t>Gestion des données</w:t>
      </w:r>
      <w:bookmarkEnd w:id="20"/>
      <w:bookmarkEnd w:id="21"/>
      <w:bookmarkEnd w:id="22"/>
      <w:bookmarkEnd w:id="23"/>
    </w:p>
    <w:p w14:paraId="412D3CCA" w14:textId="755B2170" w:rsidR="00CE566D" w:rsidRDefault="00CE566D" w:rsidP="000D4DE4">
      <w:pPr>
        <w:pStyle w:val="Titre2"/>
        <w:jc w:val="both"/>
        <w:rPr>
          <w:rFonts w:eastAsia="Times New Roman"/>
          <w:lang w:eastAsia="fr-FR"/>
        </w:rPr>
      </w:pPr>
    </w:p>
    <w:p w14:paraId="67985BD1" w14:textId="7CC8CA34" w:rsidR="00F603FE" w:rsidRPr="00F603FE" w:rsidRDefault="00F603FE" w:rsidP="000D4DE4">
      <w:pPr>
        <w:pStyle w:val="Titre2"/>
        <w:jc w:val="both"/>
        <w:rPr>
          <w:lang w:eastAsia="fr-FR"/>
        </w:rPr>
      </w:pPr>
      <w:bookmarkStart w:id="24" w:name="_Toc228780882"/>
      <w:r>
        <w:rPr>
          <w:lang w:eastAsia="fr-FR"/>
        </w:rPr>
        <w:t>Menu développement de collection, ajout d’outils avancés</w:t>
      </w:r>
      <w:bookmarkEnd w:id="24"/>
    </w:p>
    <w:p w14:paraId="762B3E84" w14:textId="56E71A28" w:rsidR="00F603FE" w:rsidRDefault="00F603FE" w:rsidP="000D4DE4">
      <w:pPr>
        <w:jc w:val="both"/>
        <w:rPr>
          <w:lang w:eastAsia="fr-FR"/>
        </w:rPr>
      </w:pPr>
      <w:r>
        <w:rPr>
          <w:lang w:eastAsia="fr-FR"/>
        </w:rPr>
        <w:t>Des outils avancés ont été ajouté</w:t>
      </w:r>
      <w:r w:rsidR="000D4DE4">
        <w:rPr>
          <w:lang w:eastAsia="fr-FR"/>
        </w:rPr>
        <w:t>s</w:t>
      </w:r>
      <w:r>
        <w:rPr>
          <w:lang w:eastAsia="fr-FR"/>
        </w:rPr>
        <w:t xml:space="preserve"> au menu Développement de collection.</w:t>
      </w:r>
    </w:p>
    <w:p w14:paraId="548A9B31" w14:textId="7FC2F8A0" w:rsidR="00F603FE" w:rsidRDefault="00F603FE" w:rsidP="000D4DE4">
      <w:pPr>
        <w:pStyle w:val="Paragraphedeliste"/>
        <w:numPr>
          <w:ilvl w:val="0"/>
          <w:numId w:val="18"/>
        </w:numPr>
        <w:jc w:val="both"/>
        <w:rPr>
          <w:lang w:eastAsia="fr-FR"/>
        </w:rPr>
      </w:pPr>
      <w:r>
        <w:rPr>
          <w:lang w:eastAsia="fr-FR"/>
        </w:rPr>
        <w:t>Analyse de chevauchement et collection : comparaison des collections et des listes de titres pour identifier les contenus communs et uniques.</w:t>
      </w:r>
    </w:p>
    <w:p w14:paraId="647078B2" w14:textId="5F6A7898" w:rsidR="00F603FE" w:rsidRDefault="00F603FE" w:rsidP="000D4DE4">
      <w:pPr>
        <w:pStyle w:val="Paragraphedeliste"/>
        <w:numPr>
          <w:ilvl w:val="0"/>
          <w:numId w:val="18"/>
        </w:numPr>
        <w:jc w:val="both"/>
        <w:rPr>
          <w:lang w:eastAsia="fr-FR"/>
        </w:rPr>
      </w:pPr>
      <w:r>
        <w:rPr>
          <w:lang w:eastAsia="fr-FR"/>
        </w:rPr>
        <w:t>Analyse de titre dupliqué : Identification et regroupement des notices bibliographiques potentiellement en double</w:t>
      </w:r>
    </w:p>
    <w:p w14:paraId="47460A3B" w14:textId="5882E625" w:rsidR="00F603FE" w:rsidRDefault="00F603FE" w:rsidP="000D4DE4">
      <w:pPr>
        <w:pStyle w:val="Paragraphedeliste"/>
        <w:numPr>
          <w:ilvl w:val="0"/>
          <w:numId w:val="18"/>
        </w:numPr>
        <w:jc w:val="both"/>
        <w:rPr>
          <w:lang w:eastAsia="fr-FR"/>
        </w:rPr>
      </w:pPr>
      <w:r>
        <w:rPr>
          <w:lang w:eastAsia="fr-FR"/>
        </w:rPr>
        <w:t>Fusionner les notices et combiner l’inventaire</w:t>
      </w:r>
    </w:p>
    <w:p w14:paraId="0BF3B04A" w14:textId="30C3FA8D" w:rsidR="004A61C7" w:rsidRDefault="00F603FE" w:rsidP="000D4DE4">
      <w:pPr>
        <w:jc w:val="both"/>
        <w:rPr>
          <w:lang w:eastAsia="fr-FR"/>
        </w:rPr>
      </w:pPr>
      <w:r>
        <w:rPr>
          <w:noProof/>
        </w:rPr>
        <w:drawing>
          <wp:inline distT="0" distB="0" distL="0" distR="0" wp14:anchorId="5D0827B3" wp14:editId="3D09DFE6">
            <wp:extent cx="2410451" cy="1670957"/>
            <wp:effectExtent l="0" t="0" r="9525" b="5715"/>
            <wp:docPr id="16234746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3311" cy="1672939"/>
                    </a:xfrm>
                    <a:prstGeom prst="rect">
                      <a:avLst/>
                    </a:prstGeom>
                    <a:noFill/>
                    <a:ln>
                      <a:noFill/>
                    </a:ln>
                  </pic:spPr>
                </pic:pic>
              </a:graphicData>
            </a:graphic>
          </wp:inline>
        </w:drawing>
      </w:r>
    </w:p>
    <w:p w14:paraId="4D6FBEFD" w14:textId="719EA8CB" w:rsidR="00F603FE" w:rsidRDefault="00F603FE" w:rsidP="000D4DE4">
      <w:pPr>
        <w:jc w:val="both"/>
        <w:rPr>
          <w:lang w:eastAsia="fr-FR"/>
        </w:rPr>
      </w:pPr>
      <w:r>
        <w:rPr>
          <w:lang w:eastAsia="fr-FR"/>
        </w:rPr>
        <w:t>Ces outils sont généralement utilisés par le SICD et sont aussi accessibles par le Menu Ressources &gt; O</w:t>
      </w:r>
      <w:r w:rsidRPr="00F603FE">
        <w:rPr>
          <w:lang w:eastAsia="fr-FR"/>
        </w:rPr>
        <w:t>utils avancés</w:t>
      </w:r>
    </w:p>
    <w:p w14:paraId="133E200C" w14:textId="77777777" w:rsidR="00F603FE" w:rsidRDefault="00F603FE" w:rsidP="000D4DE4">
      <w:pPr>
        <w:jc w:val="both"/>
        <w:rPr>
          <w:lang w:eastAsia="fr-FR"/>
        </w:rPr>
      </w:pPr>
    </w:p>
    <w:p w14:paraId="27B93F4F" w14:textId="46DD7B70" w:rsidR="00D41C9E" w:rsidRDefault="00D41C9E" w:rsidP="000D4DE4">
      <w:pPr>
        <w:pStyle w:val="Titre2"/>
        <w:jc w:val="both"/>
        <w:rPr>
          <w:lang w:eastAsia="fr-FR"/>
        </w:rPr>
      </w:pPr>
      <w:bookmarkStart w:id="25" w:name="_Toc228780883"/>
      <w:r>
        <w:rPr>
          <w:lang w:eastAsia="fr-FR"/>
        </w:rPr>
        <w:t>Développement de collection, import de codes-barres</w:t>
      </w:r>
      <w:bookmarkEnd w:id="25"/>
    </w:p>
    <w:p w14:paraId="646D3E55" w14:textId="3AF5FAEB" w:rsidR="00D41C9E" w:rsidRPr="00D41C9E" w:rsidRDefault="00D41C9E" w:rsidP="000D4DE4">
      <w:pPr>
        <w:jc w:val="both"/>
        <w:rPr>
          <w:lang w:eastAsia="fr-FR"/>
        </w:rPr>
      </w:pPr>
      <w:r>
        <w:rPr>
          <w:lang w:eastAsia="fr-FR"/>
        </w:rPr>
        <w:t>Il est désormais possible de créer un projet depuis le menu développement de collection, en important une liste de code-barres.</w:t>
      </w:r>
    </w:p>
    <w:p w14:paraId="5227517C" w14:textId="77777777" w:rsidR="00F603FE" w:rsidRDefault="00F603FE" w:rsidP="000D4DE4">
      <w:pPr>
        <w:jc w:val="both"/>
        <w:rPr>
          <w:lang w:eastAsia="fr-FR"/>
        </w:rPr>
      </w:pPr>
    </w:p>
    <w:p w14:paraId="6F3A273E" w14:textId="5DD3119D" w:rsidR="00E562A4" w:rsidRDefault="00E562A4" w:rsidP="000D4DE4">
      <w:pPr>
        <w:pStyle w:val="Titre2"/>
        <w:jc w:val="both"/>
        <w:rPr>
          <w:lang w:eastAsia="fr-FR"/>
        </w:rPr>
      </w:pPr>
      <w:bookmarkStart w:id="26" w:name="_Toc228780884"/>
      <w:r>
        <w:rPr>
          <w:lang w:eastAsia="fr-FR"/>
        </w:rPr>
        <w:t>Rialto</w:t>
      </w:r>
      <w:bookmarkEnd w:id="26"/>
      <w:r>
        <w:rPr>
          <w:lang w:eastAsia="fr-FR"/>
        </w:rPr>
        <w:t xml:space="preserve"> </w:t>
      </w:r>
    </w:p>
    <w:p w14:paraId="4B9EE222" w14:textId="4E84349A" w:rsidR="00E562A4" w:rsidRDefault="00E562A4" w:rsidP="000D4DE4">
      <w:pPr>
        <w:jc w:val="both"/>
        <w:rPr>
          <w:lang w:eastAsia="fr-FR"/>
        </w:rPr>
      </w:pPr>
      <w:r>
        <w:rPr>
          <w:lang w:eastAsia="fr-FR"/>
        </w:rPr>
        <w:t>Il sera désormais possible d’effectuer une recherche depuis Alma dans Rialto, aucune inscription n’est requise.</w:t>
      </w:r>
    </w:p>
    <w:p w14:paraId="0C0FE697" w14:textId="19C18F8D" w:rsidR="00E562A4" w:rsidRDefault="00E562A4" w:rsidP="000D4DE4">
      <w:pPr>
        <w:jc w:val="both"/>
        <w:rPr>
          <w:lang w:eastAsia="fr-FR"/>
        </w:rPr>
      </w:pPr>
      <w:r>
        <w:rPr>
          <w:noProof/>
          <w:lang w:eastAsia="fr-FR"/>
        </w:rPr>
        <w:drawing>
          <wp:inline distT="0" distB="0" distL="0" distR="0" wp14:anchorId="4E84D219" wp14:editId="0E637446">
            <wp:extent cx="2307772" cy="2214516"/>
            <wp:effectExtent l="0" t="0" r="0" b="0"/>
            <wp:docPr id="13872245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3999" cy="2220492"/>
                    </a:xfrm>
                    <a:prstGeom prst="rect">
                      <a:avLst/>
                    </a:prstGeom>
                    <a:noFill/>
                    <a:ln>
                      <a:noFill/>
                    </a:ln>
                  </pic:spPr>
                </pic:pic>
              </a:graphicData>
            </a:graphic>
          </wp:inline>
        </w:drawing>
      </w:r>
    </w:p>
    <w:p w14:paraId="62CB803E" w14:textId="77777777" w:rsidR="00E562A4" w:rsidRDefault="00E562A4" w:rsidP="000D4DE4">
      <w:pPr>
        <w:jc w:val="both"/>
        <w:rPr>
          <w:lang w:eastAsia="fr-FR"/>
        </w:rPr>
      </w:pPr>
    </w:p>
    <w:p w14:paraId="2D219341" w14:textId="3175055B" w:rsidR="00E562A4" w:rsidRDefault="00E562A4" w:rsidP="000D4DE4">
      <w:pPr>
        <w:jc w:val="both"/>
        <w:rPr>
          <w:lang w:eastAsia="fr-FR"/>
        </w:rPr>
      </w:pPr>
      <w:r w:rsidRPr="00E562A4">
        <w:rPr>
          <w:lang w:eastAsia="fr-FR"/>
        </w:rPr>
        <w:t xml:space="preserve">Rappel : Rialto est un service de type </w:t>
      </w:r>
      <w:r w:rsidRPr="00E562A4">
        <w:rPr>
          <w:i/>
          <w:iCs/>
          <w:lang w:eastAsia="fr-FR"/>
        </w:rPr>
        <w:t>marketplace</w:t>
      </w:r>
      <w:r w:rsidR="000D4DE4">
        <w:rPr>
          <w:lang w:eastAsia="fr-FR"/>
        </w:rPr>
        <w:t xml:space="preserve"> </w:t>
      </w:r>
      <w:r w:rsidRPr="00E562A4">
        <w:rPr>
          <w:lang w:eastAsia="fr-FR"/>
        </w:rPr>
        <w:t xml:space="preserve">intégré à Alma </w:t>
      </w:r>
      <w:r>
        <w:rPr>
          <w:lang w:eastAsia="fr-FR"/>
        </w:rPr>
        <w:t xml:space="preserve">et peut </w:t>
      </w:r>
      <w:r w:rsidRPr="00E562A4">
        <w:rPr>
          <w:lang w:eastAsia="fr-FR"/>
        </w:rPr>
        <w:t>simplifier les commandes des ressources électroniques gérées au titre à titre.</w:t>
      </w:r>
      <w:r>
        <w:rPr>
          <w:lang w:eastAsia="fr-FR"/>
        </w:rPr>
        <w:t xml:space="preserve"> Cependant,</w:t>
      </w:r>
      <w:r w:rsidR="000D4DE4">
        <w:rPr>
          <w:lang w:eastAsia="fr-FR"/>
        </w:rPr>
        <w:t xml:space="preserve"> </w:t>
      </w:r>
      <w:r w:rsidRPr="00E562A4">
        <w:rPr>
          <w:lang w:eastAsia="fr-FR"/>
        </w:rPr>
        <w:t xml:space="preserve">l’acquisition dans Rialto n’est pas possible quand une seule installation d'Alma est partagée entre plusieurs établissements et que chacun d'entre eux dispose de </w:t>
      </w:r>
      <w:r w:rsidR="000D4DE4">
        <w:rPr>
          <w:lang w:eastAsia="fr-FR"/>
        </w:rPr>
        <w:t>collections</w:t>
      </w:r>
      <w:r w:rsidRPr="00E562A4">
        <w:rPr>
          <w:lang w:eastAsia="fr-FR"/>
        </w:rPr>
        <w:t xml:space="preserve"> distinct</w:t>
      </w:r>
      <w:r w:rsidR="000D4DE4">
        <w:rPr>
          <w:lang w:eastAsia="fr-FR"/>
        </w:rPr>
        <w:t>e</w:t>
      </w:r>
      <w:r w:rsidRPr="00E562A4">
        <w:rPr>
          <w:lang w:eastAsia="fr-FR"/>
        </w:rPr>
        <w:t>s par plate</w:t>
      </w:r>
      <w:r w:rsidR="000D4DE4">
        <w:rPr>
          <w:lang w:eastAsia="fr-FR"/>
        </w:rPr>
        <w:t>forme</w:t>
      </w:r>
      <w:r w:rsidRPr="00E562A4">
        <w:rPr>
          <w:lang w:eastAsia="fr-FR"/>
        </w:rPr>
        <w:t>. Cela peut entraîner des problèmes qui sont complexes à gérer du point de vue des activations et surtout</w:t>
      </w:r>
      <w:r>
        <w:rPr>
          <w:lang w:eastAsia="fr-FR"/>
        </w:rPr>
        <w:t xml:space="preserve"> des</w:t>
      </w:r>
      <w:r w:rsidRPr="00E562A4">
        <w:rPr>
          <w:lang w:eastAsia="fr-FR"/>
        </w:rPr>
        <w:t xml:space="preserve"> facturations.</w:t>
      </w:r>
    </w:p>
    <w:p w14:paraId="757009C3" w14:textId="715B4547" w:rsidR="00E562A4" w:rsidRDefault="00E562A4" w:rsidP="000D4DE4">
      <w:pPr>
        <w:jc w:val="both"/>
        <w:rPr>
          <w:lang w:eastAsia="fr-FR"/>
        </w:rPr>
      </w:pPr>
      <w:r>
        <w:rPr>
          <w:lang w:eastAsia="fr-FR"/>
        </w:rPr>
        <w:t xml:space="preserve">Donc a priori, cela ne sera pas utile à notre réseau mais pour l’instant le SICD n’a pas pu tester la recherche dans Rialto (cela ne sera accessible qu’en mai, même sur la </w:t>
      </w:r>
      <w:proofErr w:type="spellStart"/>
      <w:r>
        <w:rPr>
          <w:lang w:eastAsia="fr-FR"/>
        </w:rPr>
        <w:t>sandbox</w:t>
      </w:r>
      <w:proofErr w:type="spellEnd"/>
      <w:r>
        <w:rPr>
          <w:lang w:eastAsia="fr-FR"/>
        </w:rPr>
        <w:t>).</w:t>
      </w:r>
    </w:p>
    <w:p w14:paraId="4483EF5D" w14:textId="717D11D4" w:rsidR="00F64BEE" w:rsidRDefault="00F64BEE" w:rsidP="000D4DE4">
      <w:pPr>
        <w:pStyle w:val="Titre1"/>
        <w:jc w:val="both"/>
      </w:pPr>
      <w:bookmarkStart w:id="27" w:name="_Toc182394129"/>
      <w:bookmarkStart w:id="28" w:name="_Toc220413177"/>
      <w:bookmarkStart w:id="29" w:name="_Toc228780885"/>
      <w:proofErr w:type="spellStart"/>
      <w:r>
        <w:lastRenderedPageBreak/>
        <w:t>Doc’Elec</w:t>
      </w:r>
      <w:bookmarkEnd w:id="27"/>
      <w:bookmarkEnd w:id="28"/>
      <w:bookmarkEnd w:id="29"/>
      <w:proofErr w:type="spellEnd"/>
    </w:p>
    <w:p w14:paraId="631E49A5" w14:textId="1BFC1BEE" w:rsidR="000D4DE4" w:rsidRPr="000D4DE4" w:rsidRDefault="00C26D44" w:rsidP="000D4DE4">
      <w:pPr>
        <w:pStyle w:val="Titre2"/>
        <w:jc w:val="both"/>
      </w:pPr>
      <w:bookmarkStart w:id="30" w:name="_Toc220413178"/>
      <w:bookmarkStart w:id="31" w:name="_Toc228780886"/>
      <w:r>
        <w:t>Nouveau paramétrage</w:t>
      </w:r>
      <w:bookmarkEnd w:id="30"/>
      <w:r>
        <w:t xml:space="preserve"> pour garder les portfolios supprimés de la KB actifs</w:t>
      </w:r>
      <w:bookmarkEnd w:id="31"/>
    </w:p>
    <w:p w14:paraId="36058D44" w14:textId="767FBBA2" w:rsidR="00C26D44" w:rsidRDefault="00C26D44" w:rsidP="000D4DE4">
      <w:pPr>
        <w:jc w:val="both"/>
      </w:pPr>
      <w:r w:rsidRPr="00C26D44">
        <w:rPr>
          <w:noProof/>
        </w:rPr>
        <w:drawing>
          <wp:inline distT="0" distB="0" distL="0" distR="0" wp14:anchorId="1D4E1F6E" wp14:editId="7AF17755">
            <wp:extent cx="5498275" cy="2552165"/>
            <wp:effectExtent l="0" t="0" r="7620" b="635"/>
            <wp:docPr id="10032220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22046" name=""/>
                    <pic:cNvPicPr/>
                  </pic:nvPicPr>
                  <pic:blipFill>
                    <a:blip r:embed="rId24"/>
                    <a:stretch>
                      <a:fillRect/>
                    </a:stretch>
                  </pic:blipFill>
                  <pic:spPr>
                    <a:xfrm>
                      <a:off x="0" y="0"/>
                      <a:ext cx="5513107" cy="2559050"/>
                    </a:xfrm>
                    <a:prstGeom prst="rect">
                      <a:avLst/>
                    </a:prstGeom>
                  </pic:spPr>
                </pic:pic>
              </a:graphicData>
            </a:graphic>
          </wp:inline>
        </w:drawing>
      </w:r>
    </w:p>
    <w:p w14:paraId="2E3E8982" w14:textId="5E7C8FC3" w:rsidR="00C26D44" w:rsidRDefault="00C26D44" w:rsidP="000D4DE4">
      <w:pPr>
        <w:jc w:val="both"/>
      </w:pPr>
      <w:r>
        <w:t xml:space="preserve">Les services de collections activés à partir de la </w:t>
      </w:r>
      <w:r w:rsidR="00A34E9C">
        <w:t>z</w:t>
      </w:r>
      <w:r>
        <w:t>one communautaire intègrent désormais une nouvelle</w:t>
      </w:r>
      <w:r w:rsidR="000D4DE4">
        <w:t xml:space="preserve"> </w:t>
      </w:r>
      <w:r>
        <w:t xml:space="preserve">option de configuration qui permet de déterminer si les portfolios supprimés de la </w:t>
      </w:r>
      <w:r w:rsidR="00A34E9C">
        <w:t xml:space="preserve">KB </w:t>
      </w:r>
      <w:r>
        <w:t xml:space="preserve">et localisés au sein de l'établissement doivent être désactivés ou rester actifs. Ce nouveau paramètre : « </w:t>
      </w:r>
      <w:r w:rsidR="00A34E9C">
        <w:t>D</w:t>
      </w:r>
      <w:r>
        <w:t>ésactiver automatiquement les portfolios retirés du service ? », s'applique lorsque le service est configuré sans suppression automatique</w:t>
      </w:r>
      <w:r w:rsidR="00A91959">
        <w:t>.</w:t>
      </w:r>
      <w:r w:rsidR="004633CA">
        <w:t xml:space="preserve"> D’ailleurs quand « supprimer automatiquement les portfolios retirés du service » est coché cette nouvelle option n’est alors pas proposée.</w:t>
      </w:r>
      <w:r w:rsidR="000D4DE4">
        <w:t xml:space="preserve"> </w:t>
      </w:r>
      <w:r>
        <w:t xml:space="preserve">Ce paramètre détermine le comportement des portfolios après leur retrait de la communauté, offrant ainsi un contrôle plus fin sur les ressources liées à la </w:t>
      </w:r>
      <w:r w:rsidR="00A34E9C">
        <w:t>z</w:t>
      </w:r>
      <w:r>
        <w:t>one communautaire.</w:t>
      </w:r>
    </w:p>
    <w:p w14:paraId="7B55799E" w14:textId="07A9A7D1" w:rsidR="00A91959" w:rsidRDefault="00A91959" w:rsidP="000D4DE4">
      <w:pPr>
        <w:jc w:val="both"/>
      </w:pPr>
      <w:r>
        <w:t>3 option</w:t>
      </w:r>
      <w:r w:rsidR="004633CA">
        <w:t>s</w:t>
      </w:r>
      <w:r>
        <w:t xml:space="preserve"> possible</w:t>
      </w:r>
      <w:r w:rsidR="004633CA">
        <w:t>s :</w:t>
      </w:r>
    </w:p>
    <w:p w14:paraId="02C0A790" w14:textId="77777777" w:rsidR="000D4DE4" w:rsidRDefault="00C26D44" w:rsidP="000D4DE4">
      <w:pPr>
        <w:pStyle w:val="Paragraphedeliste"/>
        <w:numPr>
          <w:ilvl w:val="0"/>
          <w:numId w:val="19"/>
        </w:numPr>
        <w:jc w:val="both"/>
      </w:pPr>
      <w:r>
        <w:t xml:space="preserve">Désactiver — Il s'agit du paramètre par défaut. Il conserve le comportement actuel. Les portfolios sont dissociés de la </w:t>
      </w:r>
      <w:r w:rsidR="00A34E9C">
        <w:t>KB</w:t>
      </w:r>
      <w:r>
        <w:t xml:space="preserve"> et définis comme « </w:t>
      </w:r>
      <w:r w:rsidR="00A34E9C">
        <w:t>N</w:t>
      </w:r>
      <w:r>
        <w:t>on disponibles » au sein de l'établissement.</w:t>
      </w:r>
    </w:p>
    <w:p w14:paraId="20EDC7DA" w14:textId="77777777" w:rsidR="000D4DE4" w:rsidRDefault="00C26D44" w:rsidP="000D4DE4">
      <w:pPr>
        <w:pStyle w:val="Paragraphedeliste"/>
        <w:numPr>
          <w:ilvl w:val="0"/>
          <w:numId w:val="19"/>
        </w:numPr>
        <w:jc w:val="both"/>
      </w:pPr>
      <w:r>
        <w:t>Garder tous actifs — Les portfolios sont dissociés de la</w:t>
      </w:r>
      <w:r w:rsidR="00A34E9C">
        <w:t xml:space="preserve"> KB </w:t>
      </w:r>
      <w:r w:rsidR="004B321B">
        <w:t>et</w:t>
      </w:r>
      <w:r>
        <w:t xml:space="preserve"> restent « Disponibles » au sein de l'établissement.</w:t>
      </w:r>
    </w:p>
    <w:p w14:paraId="7E2C76B1" w14:textId="77777777" w:rsidR="000D4DE4" w:rsidRDefault="00C26D44" w:rsidP="000D4DE4">
      <w:pPr>
        <w:pStyle w:val="Paragraphedeliste"/>
        <w:numPr>
          <w:ilvl w:val="0"/>
          <w:numId w:val="19"/>
        </w:numPr>
        <w:jc w:val="both"/>
      </w:pPr>
      <w:r>
        <w:t>Conserver les portfolios à accès perpétuel actifs</w:t>
      </w:r>
      <w:r w:rsidR="00A34E9C">
        <w:t>.</w:t>
      </w:r>
      <w:r>
        <w:t xml:space="preserve"> Les portfolios sont dissociés de la </w:t>
      </w:r>
      <w:r w:rsidR="00A34E9C">
        <w:t>KB</w:t>
      </w:r>
      <w:r>
        <w:t xml:space="preserve"> et traités en fonction de leur type d’accès :</w:t>
      </w:r>
    </w:p>
    <w:p w14:paraId="116ADD03" w14:textId="77777777" w:rsidR="000D4DE4" w:rsidRDefault="00C26D44" w:rsidP="000D4DE4">
      <w:pPr>
        <w:pStyle w:val="Paragraphedeliste"/>
        <w:numPr>
          <w:ilvl w:val="1"/>
          <w:numId w:val="19"/>
        </w:numPr>
        <w:jc w:val="both"/>
      </w:pPr>
      <w:r>
        <w:t>Les portfolios avec un accès perpétuel ou actuel et perpétuel restent disponibles.</w:t>
      </w:r>
    </w:p>
    <w:p w14:paraId="0A43D3A2" w14:textId="77777777" w:rsidR="000D4DE4" w:rsidRDefault="00C26D44" w:rsidP="000D4DE4">
      <w:pPr>
        <w:pStyle w:val="Paragraphedeliste"/>
        <w:numPr>
          <w:ilvl w:val="1"/>
          <w:numId w:val="19"/>
        </w:numPr>
        <w:jc w:val="both"/>
      </w:pPr>
      <w:r>
        <w:t>Les portfolios avec un accès actuel sont désactivés.</w:t>
      </w:r>
    </w:p>
    <w:p w14:paraId="00F87EF0" w14:textId="6D9BBA37" w:rsidR="00C26D44" w:rsidRDefault="00C26D44" w:rsidP="000D4DE4">
      <w:pPr>
        <w:pStyle w:val="Paragraphedeliste"/>
        <w:numPr>
          <w:ilvl w:val="1"/>
          <w:numId w:val="19"/>
        </w:numPr>
        <w:jc w:val="both"/>
      </w:pPr>
      <w:r>
        <w:t>Si le portfolio n’a pas de type d’accès défini, le type d’accès de la collection sera utilisé.</w:t>
      </w:r>
    </w:p>
    <w:p w14:paraId="2976FC14" w14:textId="459152A1" w:rsidR="000D4DE4" w:rsidRDefault="00893B41" w:rsidP="000D4DE4">
      <w:pPr>
        <w:jc w:val="both"/>
      </w:pPr>
      <w:r w:rsidRPr="00893B41">
        <w:t xml:space="preserve">Ce nouveau paramètre peut être mis à jour manuellement dans l'éditeur de services </w:t>
      </w:r>
      <w:r>
        <w:t>de la collect</w:t>
      </w:r>
      <w:r w:rsidR="000D4DE4">
        <w:t>ion</w:t>
      </w:r>
      <w:r w:rsidRPr="00893B41">
        <w:rPr>
          <w:noProof/>
        </w:rPr>
        <w:drawing>
          <wp:inline distT="0" distB="0" distL="0" distR="0" wp14:anchorId="28EBD3FD" wp14:editId="5DB8ED63">
            <wp:extent cx="4126675" cy="1384264"/>
            <wp:effectExtent l="0" t="0" r="7620" b="6985"/>
            <wp:docPr id="369054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5471" name=""/>
                    <pic:cNvPicPr/>
                  </pic:nvPicPr>
                  <pic:blipFill>
                    <a:blip r:embed="rId25"/>
                    <a:stretch>
                      <a:fillRect/>
                    </a:stretch>
                  </pic:blipFill>
                  <pic:spPr>
                    <a:xfrm>
                      <a:off x="0" y="0"/>
                      <a:ext cx="4135351" cy="1387174"/>
                    </a:xfrm>
                    <a:prstGeom prst="rect">
                      <a:avLst/>
                    </a:prstGeom>
                  </pic:spPr>
                </pic:pic>
              </a:graphicData>
            </a:graphic>
          </wp:inline>
        </w:drawing>
      </w:r>
    </w:p>
    <w:p w14:paraId="16E8340B" w14:textId="2B883546" w:rsidR="00893B41" w:rsidRDefault="00893B41" w:rsidP="000D4DE4">
      <w:pPr>
        <w:jc w:val="both"/>
      </w:pPr>
      <w:r>
        <w:t>O</w:t>
      </w:r>
      <w:r w:rsidRPr="00893B41">
        <w:t xml:space="preserve">u </w:t>
      </w:r>
      <w:r>
        <w:t>par lot</w:t>
      </w:r>
      <w:r w:rsidRPr="00893B41">
        <w:t xml:space="preserve"> à l'aide d</w:t>
      </w:r>
      <w:r w:rsidR="00632E95">
        <w:t>u traitement</w:t>
      </w:r>
      <w:r w:rsidRPr="00893B41">
        <w:t xml:space="preserve"> « Modifier les informations sur les collections électroniques</w:t>
      </w:r>
      <w:r w:rsidR="00632E95">
        <w:t> »</w:t>
      </w:r>
      <w:r w:rsidR="000D4DE4">
        <w:t>.</w:t>
      </w:r>
    </w:p>
    <w:p w14:paraId="2EA3025D" w14:textId="77777777" w:rsidR="000D4DE4" w:rsidRDefault="000D4DE4" w:rsidP="000D4DE4">
      <w:pPr>
        <w:jc w:val="both"/>
      </w:pPr>
    </w:p>
    <w:p w14:paraId="041407A6" w14:textId="7B36BE33" w:rsidR="00C26D44" w:rsidRDefault="00F67011" w:rsidP="000D4DE4">
      <w:pPr>
        <w:pStyle w:val="Titre2"/>
        <w:jc w:val="both"/>
      </w:pPr>
      <w:bookmarkStart w:id="32" w:name="_Toc228780887"/>
      <w:r>
        <w:t>Modifications pour le signalement des incidents liées aux ressources électroniques</w:t>
      </w:r>
      <w:bookmarkEnd w:id="32"/>
    </w:p>
    <w:p w14:paraId="61FB834E" w14:textId="3E9E807A" w:rsidR="00C26D44" w:rsidRDefault="00F67011" w:rsidP="000D4DE4">
      <w:pPr>
        <w:jc w:val="both"/>
      </w:pPr>
      <w:r>
        <w:t xml:space="preserve">Dans le bouton plus d’action au niveau d’un portfolio, l’action pour signaler un incident a changé de libellé pour indiquer le nom de la société </w:t>
      </w:r>
      <w:proofErr w:type="spellStart"/>
      <w:r>
        <w:t>Clarivate</w:t>
      </w:r>
      <w:proofErr w:type="spellEnd"/>
      <w:r>
        <w:t xml:space="preserve"> (à la place d’Ex </w:t>
      </w:r>
      <w:proofErr w:type="spellStart"/>
      <w:r>
        <w:t>Libris</w:t>
      </w:r>
      <w:proofErr w:type="spellEnd"/>
      <w:r>
        <w:t>) :</w:t>
      </w:r>
    </w:p>
    <w:p w14:paraId="7A7734DC" w14:textId="2A8C90CF" w:rsidR="00F67011" w:rsidRDefault="00F67011" w:rsidP="000D4DE4">
      <w:pPr>
        <w:jc w:val="both"/>
      </w:pPr>
      <w:r w:rsidRPr="00F67011">
        <w:rPr>
          <w:noProof/>
        </w:rPr>
        <w:drawing>
          <wp:inline distT="0" distB="0" distL="0" distR="0" wp14:anchorId="6D9C1376" wp14:editId="26441C3D">
            <wp:extent cx="6363737" cy="1423283"/>
            <wp:effectExtent l="0" t="0" r="0" b="5715"/>
            <wp:docPr id="818619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19512" name=""/>
                    <pic:cNvPicPr/>
                  </pic:nvPicPr>
                  <pic:blipFill>
                    <a:blip r:embed="rId26"/>
                    <a:stretch>
                      <a:fillRect/>
                    </a:stretch>
                  </pic:blipFill>
                  <pic:spPr>
                    <a:xfrm>
                      <a:off x="0" y="0"/>
                      <a:ext cx="6397572" cy="1430850"/>
                    </a:xfrm>
                    <a:prstGeom prst="rect">
                      <a:avLst/>
                    </a:prstGeom>
                  </pic:spPr>
                </pic:pic>
              </a:graphicData>
            </a:graphic>
          </wp:inline>
        </w:drawing>
      </w:r>
    </w:p>
    <w:p w14:paraId="7E1EA854" w14:textId="61B3A83A" w:rsidR="00F67011" w:rsidRDefault="00F67011" w:rsidP="000D4DE4">
      <w:pPr>
        <w:jc w:val="both"/>
      </w:pPr>
      <w:r>
        <w:t>En outre les informations automatiquement récupérées dans « information supplémentaire » ont été enrichies </w:t>
      </w:r>
      <w:r w:rsidR="006430B9">
        <w:t>(</w:t>
      </w:r>
      <w:r>
        <w:t>notamment avec l’ID du fournisseur et l’ID du portfolio</w:t>
      </w:r>
      <w:r w:rsidR="006430B9">
        <w:t xml:space="preserve"> de la KB et de la ZI) pour aider à la résolution du problème : </w:t>
      </w:r>
      <w:r>
        <w:t xml:space="preserve"> </w:t>
      </w:r>
    </w:p>
    <w:p w14:paraId="3DC0E263" w14:textId="3F29C574" w:rsidR="00F67011" w:rsidRDefault="00F67011" w:rsidP="000D4DE4">
      <w:pPr>
        <w:jc w:val="both"/>
      </w:pPr>
      <w:r w:rsidRPr="00F67011">
        <w:rPr>
          <w:noProof/>
        </w:rPr>
        <w:drawing>
          <wp:inline distT="0" distB="0" distL="0" distR="0" wp14:anchorId="4088B60D" wp14:editId="75B5F345">
            <wp:extent cx="4476997" cy="2840070"/>
            <wp:effectExtent l="0" t="0" r="0" b="0"/>
            <wp:docPr id="5102763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76345" name=""/>
                    <pic:cNvPicPr/>
                  </pic:nvPicPr>
                  <pic:blipFill>
                    <a:blip r:embed="rId27"/>
                    <a:stretch>
                      <a:fillRect/>
                    </a:stretch>
                  </pic:blipFill>
                  <pic:spPr>
                    <a:xfrm>
                      <a:off x="0" y="0"/>
                      <a:ext cx="4482081" cy="2843295"/>
                    </a:xfrm>
                    <a:prstGeom prst="rect">
                      <a:avLst/>
                    </a:prstGeom>
                  </pic:spPr>
                </pic:pic>
              </a:graphicData>
            </a:graphic>
          </wp:inline>
        </w:drawing>
      </w:r>
    </w:p>
    <w:p w14:paraId="45F07873" w14:textId="60429EDE" w:rsidR="00DF1072" w:rsidRDefault="00DF1072" w:rsidP="000D4DE4">
      <w:pPr>
        <w:pStyle w:val="Titre2"/>
        <w:jc w:val="both"/>
      </w:pPr>
      <w:bookmarkStart w:id="33" w:name="_Toc228780888"/>
      <w:r>
        <w:t>Nouveaux champs dans le traitement par lot « Modifier les informations du portefeuille électronique »</w:t>
      </w:r>
      <w:bookmarkEnd w:id="33"/>
      <w:r>
        <w:t xml:space="preserve"> </w:t>
      </w:r>
    </w:p>
    <w:p w14:paraId="50250470" w14:textId="77777777" w:rsidR="000D4DE4" w:rsidRDefault="00DF1072" w:rsidP="000D4DE4">
      <w:pPr>
        <w:jc w:val="both"/>
      </w:pPr>
      <w:r>
        <w:t>De nouveaux champs ont été ajoutés au traitement « Modifier les informations du portefeuille électronique » afin de prendre en charge les mises à jour par lots, suivantes :</w:t>
      </w:r>
    </w:p>
    <w:p w14:paraId="4F3F7DD8" w14:textId="7EB3BB4A" w:rsidR="00DF1072" w:rsidRDefault="00DF1072" w:rsidP="000D4DE4">
      <w:pPr>
        <w:pStyle w:val="Paragraphedeliste"/>
        <w:numPr>
          <w:ilvl w:val="0"/>
          <w:numId w:val="20"/>
        </w:numPr>
        <w:jc w:val="both"/>
      </w:pPr>
      <w:r>
        <w:t>Définir la déclaration de couverture</w:t>
      </w:r>
      <w:r w:rsidR="00790C67">
        <w:t xml:space="preserve">. </w:t>
      </w:r>
      <w:r>
        <w:t>Un nouveau menu déroulant qui met à jour la valeur « Quelle déclaration de couverture sera appliquée ? » dans l'éditeur de portefeuille.</w:t>
      </w:r>
    </w:p>
    <w:p w14:paraId="371A4311" w14:textId="77777777" w:rsidR="000D4DE4" w:rsidRDefault="00790C67" w:rsidP="000D4DE4">
      <w:pPr>
        <w:jc w:val="both"/>
      </w:pPr>
      <w:r w:rsidRPr="00790C67">
        <w:rPr>
          <w:noProof/>
        </w:rPr>
        <w:lastRenderedPageBreak/>
        <w:drawing>
          <wp:inline distT="0" distB="0" distL="0" distR="0" wp14:anchorId="6EBD9547" wp14:editId="60CABBED">
            <wp:extent cx="4512623" cy="1343043"/>
            <wp:effectExtent l="0" t="0" r="2540" b="0"/>
            <wp:docPr id="17230335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33567" name=""/>
                    <pic:cNvPicPr/>
                  </pic:nvPicPr>
                  <pic:blipFill>
                    <a:blip r:embed="rId28"/>
                    <a:stretch>
                      <a:fillRect/>
                    </a:stretch>
                  </pic:blipFill>
                  <pic:spPr>
                    <a:xfrm>
                      <a:off x="0" y="0"/>
                      <a:ext cx="4522537" cy="1345994"/>
                    </a:xfrm>
                    <a:prstGeom prst="rect">
                      <a:avLst/>
                    </a:prstGeom>
                  </pic:spPr>
                </pic:pic>
              </a:graphicData>
            </a:graphic>
          </wp:inline>
        </w:drawing>
      </w:r>
      <w:r>
        <w:br/>
      </w:r>
    </w:p>
    <w:p w14:paraId="0A4EB884" w14:textId="33D96C3E" w:rsidR="00DF1072" w:rsidRDefault="00DF1072" w:rsidP="000D4DE4">
      <w:pPr>
        <w:pStyle w:val="Paragraphedeliste"/>
        <w:numPr>
          <w:ilvl w:val="0"/>
          <w:numId w:val="20"/>
        </w:numPr>
        <w:jc w:val="both"/>
      </w:pPr>
      <w:r>
        <w:t>Définir le type d'accès — Un nouveau menu déroulant avec des options de condition</w:t>
      </w:r>
      <w:r w:rsidR="00C87233">
        <w:t xml:space="preserve">, qui </w:t>
      </w:r>
      <w:r>
        <w:t xml:space="preserve">met à jour le champ </w:t>
      </w:r>
      <w:r w:rsidR="00A34E9C">
        <w:t>« T</w:t>
      </w:r>
      <w:r>
        <w:t>ype d'accès du portfolio</w:t>
      </w:r>
      <w:r w:rsidR="00A34E9C">
        <w:t> »</w:t>
      </w:r>
      <w:r>
        <w:t>.</w:t>
      </w:r>
    </w:p>
    <w:p w14:paraId="0160071D" w14:textId="27E42ABE" w:rsidR="00C87233" w:rsidRDefault="00C87233" w:rsidP="000D4DE4">
      <w:pPr>
        <w:jc w:val="both"/>
      </w:pPr>
      <w:r w:rsidRPr="00C87233">
        <w:rPr>
          <w:noProof/>
        </w:rPr>
        <w:drawing>
          <wp:inline distT="0" distB="0" distL="0" distR="0" wp14:anchorId="77488845" wp14:editId="2D1D6FD5">
            <wp:extent cx="3806041" cy="2468557"/>
            <wp:effectExtent l="0" t="0" r="4445" b="8255"/>
            <wp:docPr id="1179231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31019" name=""/>
                    <pic:cNvPicPr/>
                  </pic:nvPicPr>
                  <pic:blipFill>
                    <a:blip r:embed="rId29"/>
                    <a:stretch>
                      <a:fillRect/>
                    </a:stretch>
                  </pic:blipFill>
                  <pic:spPr>
                    <a:xfrm>
                      <a:off x="0" y="0"/>
                      <a:ext cx="3811300" cy="2471968"/>
                    </a:xfrm>
                    <a:prstGeom prst="rect">
                      <a:avLst/>
                    </a:prstGeom>
                  </pic:spPr>
                </pic:pic>
              </a:graphicData>
            </a:graphic>
          </wp:inline>
        </w:drawing>
      </w:r>
    </w:p>
    <w:p w14:paraId="452BBC22" w14:textId="32361290" w:rsidR="00DF1072" w:rsidRDefault="00DF1072" w:rsidP="000D4DE4">
      <w:pPr>
        <w:pStyle w:val="Paragraphedeliste"/>
        <w:numPr>
          <w:ilvl w:val="0"/>
          <w:numId w:val="20"/>
        </w:numPr>
        <w:jc w:val="both"/>
      </w:pPr>
      <w:r>
        <w:t xml:space="preserve">Supprimer la dérogation URL/analyseur — Une nouvelle option qui efface tous les champs URL/analyseur </w:t>
      </w:r>
      <w:r w:rsidR="00C87233">
        <w:t xml:space="preserve">« outrepasser » </w:t>
      </w:r>
      <w:r>
        <w:t xml:space="preserve">dans </w:t>
      </w:r>
      <w:r w:rsidR="00C87233">
        <w:t xml:space="preserve">le </w:t>
      </w:r>
      <w:r>
        <w:t>portfolio (</w:t>
      </w:r>
      <w:r w:rsidR="00C87233">
        <w:t>d</w:t>
      </w:r>
      <w:r>
        <w:t xml:space="preserve">érogation des paramètres d'analyseur, </w:t>
      </w:r>
      <w:r w:rsidR="00C87233">
        <w:t>d</w:t>
      </w:r>
      <w:r>
        <w:t xml:space="preserve">érogation URL dynamique, </w:t>
      </w:r>
      <w:r w:rsidR="00C87233">
        <w:t>d</w:t>
      </w:r>
      <w:r>
        <w:t>érogation URL statique).</w:t>
      </w:r>
    </w:p>
    <w:p w14:paraId="0559DFAA" w14:textId="77777777" w:rsidR="000D4DE4" w:rsidRDefault="00C87233" w:rsidP="000D4DE4">
      <w:pPr>
        <w:jc w:val="both"/>
      </w:pPr>
      <w:r w:rsidRPr="00C87233">
        <w:rPr>
          <w:noProof/>
        </w:rPr>
        <w:drawing>
          <wp:inline distT="0" distB="0" distL="0" distR="0" wp14:anchorId="42E2A15B" wp14:editId="6A002671">
            <wp:extent cx="3521033" cy="1152241"/>
            <wp:effectExtent l="0" t="0" r="3810" b="0"/>
            <wp:docPr id="756496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96146" name=""/>
                    <pic:cNvPicPr/>
                  </pic:nvPicPr>
                  <pic:blipFill>
                    <a:blip r:embed="rId30"/>
                    <a:stretch>
                      <a:fillRect/>
                    </a:stretch>
                  </pic:blipFill>
                  <pic:spPr>
                    <a:xfrm>
                      <a:off x="0" y="0"/>
                      <a:ext cx="3528595" cy="1154716"/>
                    </a:xfrm>
                    <a:prstGeom prst="rect">
                      <a:avLst/>
                    </a:prstGeom>
                  </pic:spPr>
                </pic:pic>
              </a:graphicData>
            </a:graphic>
          </wp:inline>
        </w:drawing>
      </w:r>
    </w:p>
    <w:p w14:paraId="2F79D0B9" w14:textId="759F8FBB" w:rsidR="00C26D44" w:rsidRDefault="00DF1072" w:rsidP="000D4DE4">
      <w:pPr>
        <w:pStyle w:val="Paragraphedeliste"/>
        <w:numPr>
          <w:ilvl w:val="0"/>
          <w:numId w:val="20"/>
        </w:numPr>
        <w:jc w:val="both"/>
      </w:pPr>
      <w:r>
        <w:t>Type de matériel électronique</w:t>
      </w:r>
      <w:r w:rsidR="000E7A16">
        <w:t xml:space="preserve">. </w:t>
      </w:r>
      <w:r>
        <w:t>Le menu déroulant inclut désormais une valeur vide qui efface le champ</w:t>
      </w:r>
      <w:r w:rsidR="000E7A16">
        <w:t xml:space="preserve"> </w:t>
      </w:r>
      <w:r>
        <w:t>de l'éditeur de portfolio. Notez que si le portfolio est lié à la</w:t>
      </w:r>
      <w:r w:rsidR="00A34E9C">
        <w:t xml:space="preserve"> CZ</w:t>
      </w:r>
      <w:r>
        <w:t xml:space="preserve"> et que le portfolio lié dans la CZ possède un </w:t>
      </w:r>
      <w:r w:rsidR="0044522C">
        <w:t>t</w:t>
      </w:r>
      <w:r>
        <w:t xml:space="preserve">ype de matériel électronique, alors lorsque vous sélectionnez une valeur vide, la tâche écrasera ce champ avec la valeur de la CZ. </w:t>
      </w:r>
    </w:p>
    <w:p w14:paraId="6254063B" w14:textId="4DDFFC1E" w:rsidR="00C26D44" w:rsidRDefault="000E7A16" w:rsidP="000D4DE4">
      <w:pPr>
        <w:jc w:val="both"/>
      </w:pPr>
      <w:r w:rsidRPr="000E7A16">
        <w:rPr>
          <w:noProof/>
        </w:rPr>
        <w:lastRenderedPageBreak/>
        <w:drawing>
          <wp:inline distT="0" distB="0" distL="0" distR="0" wp14:anchorId="24D7EC3B" wp14:editId="620A9A75">
            <wp:extent cx="4103976" cy="3408218"/>
            <wp:effectExtent l="0" t="0" r="0" b="1905"/>
            <wp:docPr id="1368354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5434" name=""/>
                    <pic:cNvPicPr/>
                  </pic:nvPicPr>
                  <pic:blipFill>
                    <a:blip r:embed="rId31"/>
                    <a:stretch>
                      <a:fillRect/>
                    </a:stretch>
                  </pic:blipFill>
                  <pic:spPr>
                    <a:xfrm>
                      <a:off x="0" y="0"/>
                      <a:ext cx="4110208" cy="3413393"/>
                    </a:xfrm>
                    <a:prstGeom prst="rect">
                      <a:avLst/>
                    </a:prstGeom>
                  </pic:spPr>
                </pic:pic>
              </a:graphicData>
            </a:graphic>
          </wp:inline>
        </w:drawing>
      </w:r>
    </w:p>
    <w:p w14:paraId="623D7FBC" w14:textId="77777777" w:rsidR="00C26D44" w:rsidRDefault="00C26D44" w:rsidP="000D4DE4">
      <w:pPr>
        <w:jc w:val="both"/>
      </w:pPr>
    </w:p>
    <w:p w14:paraId="50863765" w14:textId="60348AEE" w:rsidR="00C26D44" w:rsidRDefault="00A34E9C" w:rsidP="000D4DE4">
      <w:pPr>
        <w:pStyle w:val="Titre2"/>
        <w:jc w:val="both"/>
      </w:pPr>
      <w:bookmarkStart w:id="34" w:name="_Toc228780889"/>
      <w:r>
        <w:t>Collections électroniques en pré-lancement dans la KB</w:t>
      </w:r>
      <w:bookmarkEnd w:id="34"/>
      <w:r>
        <w:br/>
      </w:r>
    </w:p>
    <w:p w14:paraId="45A8C337" w14:textId="3BD17126" w:rsidR="00A34E9C" w:rsidRDefault="00A34E9C" w:rsidP="000D4DE4">
      <w:pPr>
        <w:jc w:val="both"/>
      </w:pPr>
      <w:r>
        <w:t>Les collections électroniques en cours d'ajout dans la KB sont signalées par la mention « Pré</w:t>
      </w:r>
      <w:r w:rsidR="000D4DE4">
        <w:t xml:space="preserve"> </w:t>
      </w:r>
      <w:r w:rsidR="003418A5">
        <w:t>lancement »</w:t>
      </w:r>
      <w:r>
        <w:t xml:space="preserve">. Cette mention n'apparaît que pour les collections électroniques de la zone communautaire. Et pour ces collections électroniques en pré-lancement, toutes les actions autres que la « Liste des </w:t>
      </w:r>
      <w:r w:rsidR="000D4DE4">
        <w:t>portfolios »</w:t>
      </w:r>
      <w:r>
        <w:t xml:space="preserve"> sont désactivées.</w:t>
      </w:r>
      <w:r w:rsidR="000D4DE4">
        <w:t xml:space="preserve"> </w:t>
      </w:r>
      <w:r>
        <w:t>Tous les portfolios KB figurant sous les collections électroniques en pré-lancement comportent également la mention « Pré-lancement » et leurs actions seront désactivées. Et aussi, les titres de la KB auxquels sont associés uniquement des portfolios en pré-lancement comportent également la mention « Pré-lancement » et leurs actions seront désactivées.</w:t>
      </w:r>
    </w:p>
    <w:p w14:paraId="7BF6612A" w14:textId="16DF9628" w:rsidR="00A34E9C" w:rsidRDefault="00A34E9C" w:rsidP="000D4DE4">
      <w:pPr>
        <w:jc w:val="both"/>
      </w:pPr>
      <w:r>
        <w:t xml:space="preserve">Une note s’affiche dans Alma sur la page des résultats de recherche de la façon suivante : </w:t>
      </w:r>
    </w:p>
    <w:p w14:paraId="7F3FF58C" w14:textId="0863C899" w:rsidR="006F4C4C" w:rsidRDefault="006F4C4C" w:rsidP="000D4DE4">
      <w:pPr>
        <w:jc w:val="both"/>
      </w:pPr>
      <w:r w:rsidRPr="006F4C4C">
        <w:rPr>
          <w:noProof/>
        </w:rPr>
        <w:drawing>
          <wp:inline distT="0" distB="0" distL="0" distR="0" wp14:anchorId="3CD26AB9" wp14:editId="1F46AE32">
            <wp:extent cx="6340050" cy="1558456"/>
            <wp:effectExtent l="0" t="0" r="3810" b="3810"/>
            <wp:docPr id="8141962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96296" name=""/>
                    <pic:cNvPicPr/>
                  </pic:nvPicPr>
                  <pic:blipFill>
                    <a:blip r:embed="rId32"/>
                    <a:stretch>
                      <a:fillRect/>
                    </a:stretch>
                  </pic:blipFill>
                  <pic:spPr>
                    <a:xfrm>
                      <a:off x="0" y="0"/>
                      <a:ext cx="6364803" cy="1564541"/>
                    </a:xfrm>
                    <a:prstGeom prst="rect">
                      <a:avLst/>
                    </a:prstGeom>
                  </pic:spPr>
                </pic:pic>
              </a:graphicData>
            </a:graphic>
          </wp:inline>
        </w:drawing>
      </w:r>
    </w:p>
    <w:p w14:paraId="26593053" w14:textId="4C644632" w:rsidR="00C26D44" w:rsidRDefault="006F4C4C" w:rsidP="000D4DE4">
      <w:pPr>
        <w:pStyle w:val="Titre2"/>
        <w:jc w:val="both"/>
      </w:pPr>
      <w:bookmarkStart w:id="35" w:name="_Toc228780890"/>
      <w:r>
        <w:lastRenderedPageBreak/>
        <w:t>Suppressio</w:t>
      </w:r>
      <w:r w:rsidR="00321097">
        <w:t>n d</w:t>
      </w:r>
      <w:r w:rsidR="00321097" w:rsidRPr="00321097">
        <w:t>es notices bibliographiques localisées lors de la commande de collections électroniques</w:t>
      </w:r>
      <w:r w:rsidR="005567F2">
        <w:t xml:space="preserve"> dans la zone de communauté</w:t>
      </w:r>
      <w:bookmarkEnd w:id="35"/>
      <w:r w:rsidR="00321097">
        <w:t xml:space="preserve"> </w:t>
      </w:r>
    </w:p>
    <w:p w14:paraId="1373623A" w14:textId="16185E00" w:rsidR="000D4DE4" w:rsidRDefault="00321097" w:rsidP="000D4DE4">
      <w:pPr>
        <w:jc w:val="both"/>
      </w:pPr>
      <w:r w:rsidRPr="00321097">
        <w:t>Le paramètre</w:t>
      </w:r>
      <w:proofErr w:type="gramStart"/>
      <w:r w:rsidRPr="00321097">
        <w:t xml:space="preserve"> </w:t>
      </w:r>
      <w:r>
        <w:t>«</w:t>
      </w:r>
      <w:proofErr w:type="spellStart"/>
      <w:r w:rsidRPr="00321097">
        <w:t>suppress</w:t>
      </w:r>
      <w:proofErr w:type="gramEnd"/>
      <w:r w:rsidRPr="00321097">
        <w:t>_bib_upon_cz_</w:t>
      </w:r>
      <w:proofErr w:type="gramStart"/>
      <w:r w:rsidRPr="00321097">
        <w:t>ordering</w:t>
      </w:r>
      <w:proofErr w:type="spellEnd"/>
      <w:r>
        <w:t>»</w:t>
      </w:r>
      <w:proofErr w:type="gramEnd"/>
      <w:r w:rsidRPr="00321097">
        <w:t xml:space="preserve"> a été ajouté à Configuration &gt; Ressources &gt; Autres paramètres.</w:t>
      </w:r>
      <w:r w:rsidR="00857C79">
        <w:br/>
      </w:r>
      <w:r w:rsidR="00857C79" w:rsidRPr="00857C79">
        <w:rPr>
          <w:noProof/>
        </w:rPr>
        <w:drawing>
          <wp:inline distT="0" distB="0" distL="0" distR="0" wp14:anchorId="5CF9BDA5" wp14:editId="457529AE">
            <wp:extent cx="5760720" cy="1148080"/>
            <wp:effectExtent l="0" t="0" r="0" b="0"/>
            <wp:docPr id="18767729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72919" name=""/>
                    <pic:cNvPicPr/>
                  </pic:nvPicPr>
                  <pic:blipFill>
                    <a:blip r:embed="rId33"/>
                    <a:stretch>
                      <a:fillRect/>
                    </a:stretch>
                  </pic:blipFill>
                  <pic:spPr>
                    <a:xfrm>
                      <a:off x="0" y="0"/>
                      <a:ext cx="5760720" cy="1148080"/>
                    </a:xfrm>
                    <a:prstGeom prst="rect">
                      <a:avLst/>
                    </a:prstGeom>
                  </pic:spPr>
                </pic:pic>
              </a:graphicData>
            </a:graphic>
          </wp:inline>
        </w:drawing>
      </w:r>
    </w:p>
    <w:p w14:paraId="27F630FA" w14:textId="77777777" w:rsidR="000D4DE4" w:rsidRDefault="00321097" w:rsidP="000D4DE4">
      <w:pPr>
        <w:jc w:val="both"/>
      </w:pPr>
      <w:r w:rsidRPr="00321097">
        <w:t xml:space="preserve">Lorsqu'il est défini sur </w:t>
      </w:r>
      <w:r>
        <w:t>« </w:t>
      </w:r>
      <w:proofErr w:type="spellStart"/>
      <w:r w:rsidRPr="00321097">
        <w:t>true</w:t>
      </w:r>
      <w:proofErr w:type="spellEnd"/>
      <w:r>
        <w:t> »</w:t>
      </w:r>
      <w:r w:rsidRPr="00321097">
        <w:t xml:space="preserve">, toute nouvelle notice bibliographique créée dans le cadre d'une commande de collection de la zone communautaire est automatiquement supprimée dans la zone institutionnelle. </w:t>
      </w:r>
    </w:p>
    <w:p w14:paraId="4C9CEF16" w14:textId="33859D74" w:rsidR="00C26D44" w:rsidRPr="00C26D44" w:rsidRDefault="00321097" w:rsidP="000D4DE4">
      <w:pPr>
        <w:jc w:val="both"/>
      </w:pPr>
      <w:r w:rsidRPr="00321097">
        <w:t xml:space="preserve">Les notices bibliographiques qui existent déjà dans la zone institutionnelle, par exemple lors de la commande d'une collection précédemment activée, ne sont pas supprimées. </w:t>
      </w:r>
      <w:r w:rsidR="00857C79">
        <w:br/>
        <w:t>P</w:t>
      </w:r>
      <w:r w:rsidRPr="00321097">
        <w:t xml:space="preserve">ar défaut </w:t>
      </w:r>
      <w:r w:rsidR="00857C79">
        <w:t xml:space="preserve">la valeur </w:t>
      </w:r>
      <w:r w:rsidRPr="00321097">
        <w:t xml:space="preserve">de ce paramètre est </w:t>
      </w:r>
      <w:r>
        <w:t>« </w:t>
      </w:r>
      <w:r w:rsidRPr="00321097">
        <w:t>false</w:t>
      </w:r>
      <w:r>
        <w:t> »</w:t>
      </w:r>
      <w:r w:rsidRPr="00321097">
        <w:t>.</w:t>
      </w:r>
    </w:p>
    <w:p w14:paraId="372AE806" w14:textId="2AC1A563" w:rsidR="00C26D44" w:rsidRDefault="00857C79" w:rsidP="000D4DE4">
      <w:pPr>
        <w:jc w:val="both"/>
      </w:pPr>
      <w:r>
        <w:t>Cela semblerait utile pour ne pas rapatrier une notice KB alors que la notice existe déjà dans ZI et a été synchronisée</w:t>
      </w:r>
      <w:r w:rsidR="005C5319">
        <w:t xml:space="preserve"> pour</w:t>
      </w:r>
      <w:r>
        <w:t xml:space="preserve"> limite</w:t>
      </w:r>
      <w:r w:rsidR="005C5319">
        <w:t>r</w:t>
      </w:r>
      <w:r>
        <w:t xml:space="preserve"> les problèmes de mises à jour lors des TR (</w:t>
      </w:r>
      <w:proofErr w:type="spellStart"/>
      <w:r>
        <w:t>cf</w:t>
      </w:r>
      <w:proofErr w:type="spellEnd"/>
      <w:r>
        <w:t xml:space="preserve"> doublon entre une notice KB et l</w:t>
      </w:r>
      <w:r w:rsidR="001E0A67">
        <w:t xml:space="preserve">a </w:t>
      </w:r>
      <w:r>
        <w:t>notice ZI en Marc21 SUDOC).</w:t>
      </w:r>
    </w:p>
    <w:p w14:paraId="6E2C1CC9" w14:textId="77777777" w:rsidR="00474D04" w:rsidRDefault="00474D04" w:rsidP="000D4DE4">
      <w:pPr>
        <w:jc w:val="both"/>
      </w:pPr>
    </w:p>
    <w:p w14:paraId="527FDFDE" w14:textId="6EACDA3E" w:rsidR="00474D04" w:rsidRDefault="00474D04" w:rsidP="00474D04">
      <w:pPr>
        <w:pStyle w:val="Titre1"/>
      </w:pPr>
      <w:bookmarkStart w:id="36" w:name="_Toc228780891"/>
      <w:r>
        <w:t>Analytics</w:t>
      </w:r>
      <w:bookmarkEnd w:id="36"/>
    </w:p>
    <w:p w14:paraId="63FD0EE3" w14:textId="77777777" w:rsidR="00474D04" w:rsidRDefault="00474D04" w:rsidP="00474D04"/>
    <w:p w14:paraId="3766C284" w14:textId="194C1650" w:rsidR="00474D04" w:rsidRDefault="00474D04" w:rsidP="00474D04">
      <w:pPr>
        <w:pStyle w:val="Titre2"/>
      </w:pPr>
      <w:bookmarkStart w:id="37" w:name="_Toc228780892"/>
      <w:r>
        <w:t xml:space="preserve">Ajout dans le domaine </w:t>
      </w:r>
      <w:proofErr w:type="spellStart"/>
      <w:r>
        <w:t>Bibliographic</w:t>
      </w:r>
      <w:proofErr w:type="spellEnd"/>
      <w:r>
        <w:t xml:space="preserve"> Details</w:t>
      </w:r>
      <w:bookmarkEnd w:id="37"/>
    </w:p>
    <w:p w14:paraId="109F1106" w14:textId="77777777" w:rsidR="00474D04" w:rsidRDefault="00474D04" w:rsidP="00474D04"/>
    <w:p w14:paraId="1EE9533F" w14:textId="77777777" w:rsidR="00474D04" w:rsidRDefault="00474D04" w:rsidP="00474D04">
      <w:r>
        <w:t xml:space="preserve">Le champs 856 dans la colonne </w:t>
      </w:r>
      <w:proofErr w:type="spellStart"/>
      <w:r>
        <w:t>Electronic</w:t>
      </w:r>
      <w:proofErr w:type="spellEnd"/>
      <w:r>
        <w:t xml:space="preserve"> location and </w:t>
      </w:r>
      <w:proofErr w:type="spellStart"/>
      <w:r>
        <w:t>access</w:t>
      </w:r>
      <w:proofErr w:type="spellEnd"/>
    </w:p>
    <w:p w14:paraId="782B65F5" w14:textId="77777777" w:rsidR="00474D04" w:rsidRDefault="00474D04" w:rsidP="00474D04">
      <w:r>
        <w:t xml:space="preserve">Le sous-champs 300 a dans la colonne General Note </w:t>
      </w:r>
    </w:p>
    <w:p w14:paraId="33F3728C" w14:textId="77777777" w:rsidR="00474D04" w:rsidRDefault="00474D04" w:rsidP="00474D04">
      <w:r>
        <w:t xml:space="preserve">Les sous-champs 225 a, v et x dans la colonne </w:t>
      </w:r>
      <w:proofErr w:type="spellStart"/>
      <w:r>
        <w:t>Series</w:t>
      </w:r>
      <w:proofErr w:type="spellEnd"/>
      <w:r>
        <w:t xml:space="preserve"> </w:t>
      </w:r>
      <w:proofErr w:type="spellStart"/>
      <w:r>
        <w:t>Statement</w:t>
      </w:r>
      <w:proofErr w:type="spellEnd"/>
    </w:p>
    <w:p w14:paraId="1F520BCD" w14:textId="1D7E3928" w:rsidR="00474D04" w:rsidRPr="00474D04" w:rsidRDefault="00474D04" w:rsidP="00474D04">
      <w:r>
        <w:t xml:space="preserve">Les sous-champs 600 </w:t>
      </w:r>
      <w:proofErr w:type="spellStart"/>
      <w:proofErr w:type="gramStart"/>
      <w:r>
        <w:t>a,b</w:t>
      </w:r>
      <w:proofErr w:type="gramEnd"/>
      <w:r>
        <w:t>,</w:t>
      </w:r>
      <w:proofErr w:type="gramStart"/>
      <w:r>
        <w:t>c,d</w:t>
      </w:r>
      <w:proofErr w:type="gramEnd"/>
      <w:r>
        <w:t>,</w:t>
      </w:r>
      <w:proofErr w:type="gramStart"/>
      <w:r>
        <w:t>f,t</w:t>
      </w:r>
      <w:proofErr w:type="spellEnd"/>
      <w:proofErr w:type="gramEnd"/>
      <w:r>
        <w:t xml:space="preserve"> (</w:t>
      </w:r>
      <w:proofErr w:type="spellStart"/>
      <w:r>
        <w:t>obsolete</w:t>
      </w:r>
      <w:proofErr w:type="spellEnd"/>
      <w:proofErr w:type="gramStart"/>
      <w:r>
        <w:t>),p</w:t>
      </w:r>
      <w:proofErr w:type="gramEnd"/>
      <w:r>
        <w:t xml:space="preserve"> 601 </w:t>
      </w:r>
      <w:proofErr w:type="spellStart"/>
      <w:proofErr w:type="gramStart"/>
      <w:r>
        <w:t>a,b</w:t>
      </w:r>
      <w:proofErr w:type="gramEnd"/>
      <w:r>
        <w:t>,</w:t>
      </w:r>
      <w:proofErr w:type="gramStart"/>
      <w:r>
        <w:t>c,d</w:t>
      </w:r>
      <w:proofErr w:type="gramEnd"/>
      <w:r>
        <w:t>,</w:t>
      </w:r>
      <w:proofErr w:type="gramStart"/>
      <w:r>
        <w:t>e,f</w:t>
      </w:r>
      <w:proofErr w:type="gramEnd"/>
      <w:r>
        <w:t>,t</w:t>
      </w:r>
      <w:proofErr w:type="spellEnd"/>
      <w:r>
        <w:t xml:space="preserve"> (</w:t>
      </w:r>
      <w:proofErr w:type="spellStart"/>
      <w:r>
        <w:t>obsolete</w:t>
      </w:r>
      <w:proofErr w:type="spellEnd"/>
      <w:r>
        <w:t xml:space="preserve">) 601 </w:t>
      </w:r>
      <w:proofErr w:type="spellStart"/>
      <w:proofErr w:type="gramStart"/>
      <w:r>
        <w:t>a,b</w:t>
      </w:r>
      <w:proofErr w:type="gramEnd"/>
      <w:r>
        <w:t>,</w:t>
      </w:r>
      <w:proofErr w:type="gramStart"/>
      <w:r>
        <w:t>c,d</w:t>
      </w:r>
      <w:proofErr w:type="gramEnd"/>
      <w:r>
        <w:t>,</w:t>
      </w:r>
      <w:proofErr w:type="gramStart"/>
      <w:r>
        <w:t>e,f</w:t>
      </w:r>
      <w:proofErr w:type="gramEnd"/>
      <w:r>
        <w:t>,t</w:t>
      </w:r>
      <w:proofErr w:type="spellEnd"/>
      <w:r>
        <w:t xml:space="preserve"> (</w:t>
      </w:r>
      <w:proofErr w:type="spellStart"/>
      <w:r>
        <w:t>obsolete</w:t>
      </w:r>
      <w:proofErr w:type="spellEnd"/>
      <w:r>
        <w:t xml:space="preserve">) dans la colonne </w:t>
      </w:r>
      <w:proofErr w:type="spellStart"/>
      <w:r>
        <w:t>Subjects</w:t>
      </w:r>
      <w:proofErr w:type="spellEnd"/>
      <w:r>
        <w:t xml:space="preserve"> (Names)</w:t>
      </w:r>
    </w:p>
    <w:sectPr w:rsidR="00474D04" w:rsidRPr="00474D04">
      <w:headerReference w:type="default"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45F0E" w14:textId="77777777" w:rsidR="00804E7C" w:rsidRDefault="00804E7C" w:rsidP="0000222F">
      <w:pPr>
        <w:spacing w:after="0" w:line="240" w:lineRule="auto"/>
      </w:pPr>
      <w:r>
        <w:separator/>
      </w:r>
    </w:p>
  </w:endnote>
  <w:endnote w:type="continuationSeparator" w:id="0">
    <w:p w14:paraId="46881F40" w14:textId="77777777" w:rsidR="00804E7C" w:rsidRDefault="00804E7C"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7706716"/>
      <w:docPartObj>
        <w:docPartGallery w:val="Page Numbers (Bottom of Page)"/>
        <w:docPartUnique/>
      </w:docPartObj>
    </w:sdtPr>
    <w:sdtEndPr/>
    <w:sdtContent>
      <w:p w14:paraId="65BB0FCF" w14:textId="16888472" w:rsidR="0014111D" w:rsidRDefault="0014111D">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4A68FA">
          <w:rPr>
            <w:rFonts w:ascii="Constantia" w:hAnsi="Constantia"/>
            <w:noProof/>
            <w:sz w:val="24"/>
          </w:rPr>
          <w:t>1</w:t>
        </w:r>
        <w:r w:rsidRPr="004B003B">
          <w:rPr>
            <w:rFonts w:ascii="Constantia" w:hAnsi="Constantia"/>
            <w:sz w:val="24"/>
          </w:rPr>
          <w:fldChar w:fldCharType="end"/>
        </w:r>
      </w:p>
    </w:sdtContent>
  </w:sdt>
  <w:p w14:paraId="545A5A6E" w14:textId="77777777" w:rsidR="0014111D" w:rsidRPr="0000222F" w:rsidRDefault="0014111D">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3D65A" w14:textId="77777777" w:rsidR="00804E7C" w:rsidRDefault="00804E7C" w:rsidP="0000222F">
      <w:pPr>
        <w:spacing w:after="0" w:line="240" w:lineRule="auto"/>
      </w:pPr>
      <w:r>
        <w:separator/>
      </w:r>
    </w:p>
  </w:footnote>
  <w:footnote w:type="continuationSeparator" w:id="0">
    <w:p w14:paraId="7E338EE6" w14:textId="77777777" w:rsidR="00804E7C" w:rsidRDefault="00804E7C"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F0BC2" w14:textId="642149CC" w:rsidR="0014111D" w:rsidRDefault="0014111D">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13A9BC82" wp14:editId="71B18830">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44AAA10"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sdt>
      <w:sdtPr>
        <w:rPr>
          <w:rFonts w:ascii="Constantia" w:hAnsi="Constantia"/>
          <w:color w:val="000000" w:themeColor="text1"/>
          <w:sz w:val="20"/>
          <w:szCs w:val="20"/>
        </w:rPr>
        <w:alias w:val="Titre"/>
        <w:id w:val="-1645803273"/>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Constantia" w:hAnsi="Constantia"/>
            <w:color w:val="000000" w:themeColor="text1"/>
            <w:sz w:val="20"/>
            <w:szCs w:val="20"/>
          </w:rPr>
          <w:t xml:space="preserve">Note de version Alma – </w:t>
        </w:r>
        <w:r w:rsidR="009F6DD9">
          <w:rPr>
            <w:rFonts w:ascii="Constantia" w:hAnsi="Constantia"/>
            <w:color w:val="000000" w:themeColor="text1"/>
            <w:sz w:val="20"/>
            <w:szCs w:val="20"/>
          </w:rPr>
          <w:t>mai</w:t>
        </w:r>
        <w:r w:rsidR="00BC46AB">
          <w:rPr>
            <w:rFonts w:ascii="Constantia" w:hAnsi="Constantia"/>
            <w:color w:val="000000" w:themeColor="text1"/>
            <w:sz w:val="20"/>
            <w:szCs w:val="20"/>
          </w:rPr>
          <w:t xml:space="preserve"> 2026</w:t>
        </w:r>
      </w:sdtContent>
    </w:sdt>
  </w:p>
  <w:p w14:paraId="09C2C149" w14:textId="77777777" w:rsidR="0014111D" w:rsidRDefault="001411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E53"/>
    <w:multiLevelType w:val="hybridMultilevel"/>
    <w:tmpl w:val="C65667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BA4E63"/>
    <w:multiLevelType w:val="hybridMultilevel"/>
    <w:tmpl w:val="F9EEAE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994086"/>
    <w:multiLevelType w:val="hybridMultilevel"/>
    <w:tmpl w:val="36582E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E22E4F"/>
    <w:multiLevelType w:val="hybridMultilevel"/>
    <w:tmpl w:val="8EEEC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077090"/>
    <w:multiLevelType w:val="hybridMultilevel"/>
    <w:tmpl w:val="31AE47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3921DD"/>
    <w:multiLevelType w:val="hybridMultilevel"/>
    <w:tmpl w:val="51049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2E77B60"/>
    <w:multiLevelType w:val="hybridMultilevel"/>
    <w:tmpl w:val="B6DA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DF084E"/>
    <w:multiLevelType w:val="hybridMultilevel"/>
    <w:tmpl w:val="8D8C9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F84864"/>
    <w:multiLevelType w:val="hybridMultilevel"/>
    <w:tmpl w:val="A6266B24"/>
    <w:lvl w:ilvl="0" w:tplc="49E66412">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75667ED"/>
    <w:multiLevelType w:val="hybridMultilevel"/>
    <w:tmpl w:val="743EED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F54057E"/>
    <w:multiLevelType w:val="multilevel"/>
    <w:tmpl w:val="CB1EF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2C404F"/>
    <w:multiLevelType w:val="hybridMultilevel"/>
    <w:tmpl w:val="92369B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55987BBF"/>
    <w:multiLevelType w:val="hybridMultilevel"/>
    <w:tmpl w:val="3F4A5E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65A7CBA"/>
    <w:multiLevelType w:val="hybridMultilevel"/>
    <w:tmpl w:val="7540A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FE6B98"/>
    <w:multiLevelType w:val="hybridMultilevel"/>
    <w:tmpl w:val="C624F2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1A8327D"/>
    <w:multiLevelType w:val="hybridMultilevel"/>
    <w:tmpl w:val="0A605CCE"/>
    <w:lvl w:ilvl="0" w:tplc="9912BA6A">
      <w:numFmt w:val="bullet"/>
      <w:lvlText w:val=""/>
      <w:lvlJc w:val="left"/>
      <w:pPr>
        <w:ind w:left="405" w:hanging="360"/>
      </w:pPr>
      <w:rPr>
        <w:rFonts w:ascii="Wingdings" w:eastAsiaTheme="majorEastAsia" w:hAnsi="Wingdings" w:cs="Helvetica" w:hint="default"/>
        <w:sz w:val="18"/>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16" w15:restartNumberingAfterBreak="0">
    <w:nsid w:val="661E4EFE"/>
    <w:multiLevelType w:val="hybridMultilevel"/>
    <w:tmpl w:val="81AACA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0E548E4"/>
    <w:multiLevelType w:val="hybridMultilevel"/>
    <w:tmpl w:val="665C3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84C4E18"/>
    <w:multiLevelType w:val="hybridMultilevel"/>
    <w:tmpl w:val="7BD406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E8A5082"/>
    <w:multiLevelType w:val="hybridMultilevel"/>
    <w:tmpl w:val="8CC03F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110200449">
    <w:abstractNumId w:val="16"/>
  </w:num>
  <w:num w:numId="2" w16cid:durableId="706757100">
    <w:abstractNumId w:val="6"/>
  </w:num>
  <w:num w:numId="3" w16cid:durableId="1104765054">
    <w:abstractNumId w:val="14"/>
  </w:num>
  <w:num w:numId="4" w16cid:durableId="1559590500">
    <w:abstractNumId w:val="11"/>
  </w:num>
  <w:num w:numId="5" w16cid:durableId="627777904">
    <w:abstractNumId w:val="12"/>
  </w:num>
  <w:num w:numId="6" w16cid:durableId="475033101">
    <w:abstractNumId w:val="18"/>
  </w:num>
  <w:num w:numId="7" w16cid:durableId="1841771106">
    <w:abstractNumId w:val="15"/>
  </w:num>
  <w:num w:numId="8" w16cid:durableId="49963407">
    <w:abstractNumId w:val="5"/>
  </w:num>
  <w:num w:numId="9" w16cid:durableId="1667781591">
    <w:abstractNumId w:val="19"/>
  </w:num>
  <w:num w:numId="10" w16cid:durableId="1193374251">
    <w:abstractNumId w:val="8"/>
  </w:num>
  <w:num w:numId="11" w16cid:durableId="392703041">
    <w:abstractNumId w:val="3"/>
  </w:num>
  <w:num w:numId="12" w16cid:durableId="1063063365">
    <w:abstractNumId w:val="17"/>
  </w:num>
  <w:num w:numId="13" w16cid:durableId="1186284398">
    <w:abstractNumId w:val="4"/>
  </w:num>
  <w:num w:numId="14" w16cid:durableId="2130198132">
    <w:abstractNumId w:val="10"/>
  </w:num>
  <w:num w:numId="15" w16cid:durableId="586117716">
    <w:abstractNumId w:val="13"/>
  </w:num>
  <w:num w:numId="16" w16cid:durableId="349262306">
    <w:abstractNumId w:val="2"/>
  </w:num>
  <w:num w:numId="17" w16cid:durableId="852567797">
    <w:abstractNumId w:val="9"/>
  </w:num>
  <w:num w:numId="18" w16cid:durableId="380440040">
    <w:abstractNumId w:val="7"/>
  </w:num>
  <w:num w:numId="19" w16cid:durableId="255139034">
    <w:abstractNumId w:val="1"/>
  </w:num>
  <w:num w:numId="20" w16cid:durableId="134952579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2B4"/>
    <w:rsid w:val="00001EE1"/>
    <w:rsid w:val="0000222F"/>
    <w:rsid w:val="00002910"/>
    <w:rsid w:val="00004E4A"/>
    <w:rsid w:val="00005002"/>
    <w:rsid w:val="00010B41"/>
    <w:rsid w:val="00010F6A"/>
    <w:rsid w:val="00012B9E"/>
    <w:rsid w:val="00014F96"/>
    <w:rsid w:val="00015ADC"/>
    <w:rsid w:val="00017DB4"/>
    <w:rsid w:val="00024F2F"/>
    <w:rsid w:val="00025E7E"/>
    <w:rsid w:val="000260C2"/>
    <w:rsid w:val="0002716A"/>
    <w:rsid w:val="0003110F"/>
    <w:rsid w:val="00034D6E"/>
    <w:rsid w:val="0003678A"/>
    <w:rsid w:val="00036CBD"/>
    <w:rsid w:val="000401DE"/>
    <w:rsid w:val="00041564"/>
    <w:rsid w:val="0004691A"/>
    <w:rsid w:val="00047A2B"/>
    <w:rsid w:val="000511AD"/>
    <w:rsid w:val="00052D3E"/>
    <w:rsid w:val="00057336"/>
    <w:rsid w:val="00057E7E"/>
    <w:rsid w:val="000601E4"/>
    <w:rsid w:val="000607C8"/>
    <w:rsid w:val="00062C53"/>
    <w:rsid w:val="000670D0"/>
    <w:rsid w:val="000672A2"/>
    <w:rsid w:val="000736F5"/>
    <w:rsid w:val="00073CD9"/>
    <w:rsid w:val="00073E8F"/>
    <w:rsid w:val="0007473D"/>
    <w:rsid w:val="00075E23"/>
    <w:rsid w:val="00081D4F"/>
    <w:rsid w:val="00082373"/>
    <w:rsid w:val="000873D3"/>
    <w:rsid w:val="00090297"/>
    <w:rsid w:val="00090B99"/>
    <w:rsid w:val="000925F5"/>
    <w:rsid w:val="00093D10"/>
    <w:rsid w:val="000B21FD"/>
    <w:rsid w:val="000C1C2D"/>
    <w:rsid w:val="000C59D6"/>
    <w:rsid w:val="000C7553"/>
    <w:rsid w:val="000C7942"/>
    <w:rsid w:val="000D2790"/>
    <w:rsid w:val="000D3C15"/>
    <w:rsid w:val="000D4DE4"/>
    <w:rsid w:val="000D5F3E"/>
    <w:rsid w:val="000D65EB"/>
    <w:rsid w:val="000D6D4E"/>
    <w:rsid w:val="000D6DDE"/>
    <w:rsid w:val="000E3F57"/>
    <w:rsid w:val="000E47BE"/>
    <w:rsid w:val="000E6664"/>
    <w:rsid w:val="000E72F2"/>
    <w:rsid w:val="000E7A16"/>
    <w:rsid w:val="000F01AA"/>
    <w:rsid w:val="000F1B6C"/>
    <w:rsid w:val="000F20F8"/>
    <w:rsid w:val="000F3190"/>
    <w:rsid w:val="000F613D"/>
    <w:rsid w:val="000F747B"/>
    <w:rsid w:val="000F7D61"/>
    <w:rsid w:val="00102B8A"/>
    <w:rsid w:val="0010405D"/>
    <w:rsid w:val="0010457B"/>
    <w:rsid w:val="001047AB"/>
    <w:rsid w:val="00105490"/>
    <w:rsid w:val="0010575D"/>
    <w:rsid w:val="00111459"/>
    <w:rsid w:val="00112A0B"/>
    <w:rsid w:val="001176D1"/>
    <w:rsid w:val="00117E9B"/>
    <w:rsid w:val="001201B4"/>
    <w:rsid w:val="00132CF4"/>
    <w:rsid w:val="00133686"/>
    <w:rsid w:val="00134870"/>
    <w:rsid w:val="001363FA"/>
    <w:rsid w:val="00136AAE"/>
    <w:rsid w:val="001409E0"/>
    <w:rsid w:val="0014111D"/>
    <w:rsid w:val="001419AC"/>
    <w:rsid w:val="00142692"/>
    <w:rsid w:val="00145FE2"/>
    <w:rsid w:val="001470CD"/>
    <w:rsid w:val="001569C2"/>
    <w:rsid w:val="001650B2"/>
    <w:rsid w:val="001675A7"/>
    <w:rsid w:val="001701A0"/>
    <w:rsid w:val="001704C2"/>
    <w:rsid w:val="00172A1B"/>
    <w:rsid w:val="00172DEC"/>
    <w:rsid w:val="0017327C"/>
    <w:rsid w:val="001747CC"/>
    <w:rsid w:val="001748DB"/>
    <w:rsid w:val="00181D92"/>
    <w:rsid w:val="001833FA"/>
    <w:rsid w:val="00185304"/>
    <w:rsid w:val="0019280A"/>
    <w:rsid w:val="001939F8"/>
    <w:rsid w:val="00193F71"/>
    <w:rsid w:val="00196454"/>
    <w:rsid w:val="001A1BD8"/>
    <w:rsid w:val="001A4E59"/>
    <w:rsid w:val="001A7037"/>
    <w:rsid w:val="001B017C"/>
    <w:rsid w:val="001B18ED"/>
    <w:rsid w:val="001B1DC2"/>
    <w:rsid w:val="001B29BE"/>
    <w:rsid w:val="001B4CAC"/>
    <w:rsid w:val="001B547E"/>
    <w:rsid w:val="001B5C4D"/>
    <w:rsid w:val="001C53F4"/>
    <w:rsid w:val="001C78C1"/>
    <w:rsid w:val="001D43EA"/>
    <w:rsid w:val="001D4763"/>
    <w:rsid w:val="001D5E23"/>
    <w:rsid w:val="001E03D0"/>
    <w:rsid w:val="001E0A67"/>
    <w:rsid w:val="001E3A89"/>
    <w:rsid w:val="001E7014"/>
    <w:rsid w:val="001F1BC0"/>
    <w:rsid w:val="001F24AB"/>
    <w:rsid w:val="001F54BD"/>
    <w:rsid w:val="0020526F"/>
    <w:rsid w:val="00210975"/>
    <w:rsid w:val="002118A1"/>
    <w:rsid w:val="00214F93"/>
    <w:rsid w:val="00214FC2"/>
    <w:rsid w:val="00220539"/>
    <w:rsid w:val="00250066"/>
    <w:rsid w:val="00256CB1"/>
    <w:rsid w:val="00257FCE"/>
    <w:rsid w:val="00261FDF"/>
    <w:rsid w:val="00262B13"/>
    <w:rsid w:val="00265257"/>
    <w:rsid w:val="00270474"/>
    <w:rsid w:val="00271501"/>
    <w:rsid w:val="00271BA3"/>
    <w:rsid w:val="00272361"/>
    <w:rsid w:val="002725CC"/>
    <w:rsid w:val="00273FDB"/>
    <w:rsid w:val="00274278"/>
    <w:rsid w:val="00274673"/>
    <w:rsid w:val="00275004"/>
    <w:rsid w:val="00276344"/>
    <w:rsid w:val="00281088"/>
    <w:rsid w:val="00281C2E"/>
    <w:rsid w:val="00282501"/>
    <w:rsid w:val="00283F65"/>
    <w:rsid w:val="002857B9"/>
    <w:rsid w:val="00285875"/>
    <w:rsid w:val="0028724A"/>
    <w:rsid w:val="00291304"/>
    <w:rsid w:val="00293FEB"/>
    <w:rsid w:val="0029493C"/>
    <w:rsid w:val="0029509B"/>
    <w:rsid w:val="002953BF"/>
    <w:rsid w:val="002A003D"/>
    <w:rsid w:val="002A171D"/>
    <w:rsid w:val="002A2F7D"/>
    <w:rsid w:val="002A4294"/>
    <w:rsid w:val="002A70D3"/>
    <w:rsid w:val="002A7A9B"/>
    <w:rsid w:val="002B79D8"/>
    <w:rsid w:val="002C314B"/>
    <w:rsid w:val="002C4D55"/>
    <w:rsid w:val="002C5769"/>
    <w:rsid w:val="002D079A"/>
    <w:rsid w:val="002D1584"/>
    <w:rsid w:val="002D3B9F"/>
    <w:rsid w:val="002D5263"/>
    <w:rsid w:val="002D6917"/>
    <w:rsid w:val="002D78F0"/>
    <w:rsid w:val="002D7AE5"/>
    <w:rsid w:val="002E6F2B"/>
    <w:rsid w:val="002E716F"/>
    <w:rsid w:val="002F1327"/>
    <w:rsid w:val="002F5C3A"/>
    <w:rsid w:val="002F7152"/>
    <w:rsid w:val="002F7B16"/>
    <w:rsid w:val="0030256E"/>
    <w:rsid w:val="00307570"/>
    <w:rsid w:val="00307E00"/>
    <w:rsid w:val="00310CBF"/>
    <w:rsid w:val="00311A0C"/>
    <w:rsid w:val="00312A90"/>
    <w:rsid w:val="00312B5C"/>
    <w:rsid w:val="00314C37"/>
    <w:rsid w:val="003203DB"/>
    <w:rsid w:val="00320ACB"/>
    <w:rsid w:val="00321097"/>
    <w:rsid w:val="00321A9A"/>
    <w:rsid w:val="00321EE6"/>
    <w:rsid w:val="00321EED"/>
    <w:rsid w:val="003224A7"/>
    <w:rsid w:val="0032429A"/>
    <w:rsid w:val="003251D8"/>
    <w:rsid w:val="00326913"/>
    <w:rsid w:val="00326BE5"/>
    <w:rsid w:val="0033100E"/>
    <w:rsid w:val="00333CEB"/>
    <w:rsid w:val="00334C10"/>
    <w:rsid w:val="00335428"/>
    <w:rsid w:val="00335C64"/>
    <w:rsid w:val="00336233"/>
    <w:rsid w:val="003418A5"/>
    <w:rsid w:val="00344DEC"/>
    <w:rsid w:val="00346FE3"/>
    <w:rsid w:val="003474A7"/>
    <w:rsid w:val="00347DAF"/>
    <w:rsid w:val="0035454E"/>
    <w:rsid w:val="00355D48"/>
    <w:rsid w:val="00361902"/>
    <w:rsid w:val="00361A8A"/>
    <w:rsid w:val="00364FCC"/>
    <w:rsid w:val="0036628B"/>
    <w:rsid w:val="0037047F"/>
    <w:rsid w:val="00374606"/>
    <w:rsid w:val="00380E55"/>
    <w:rsid w:val="00384C81"/>
    <w:rsid w:val="003854C2"/>
    <w:rsid w:val="0038565A"/>
    <w:rsid w:val="00386DFF"/>
    <w:rsid w:val="003908BB"/>
    <w:rsid w:val="003964A1"/>
    <w:rsid w:val="003A0D01"/>
    <w:rsid w:val="003A43D5"/>
    <w:rsid w:val="003A492E"/>
    <w:rsid w:val="003A762F"/>
    <w:rsid w:val="003A7E2C"/>
    <w:rsid w:val="003B040C"/>
    <w:rsid w:val="003B2431"/>
    <w:rsid w:val="003B3DF8"/>
    <w:rsid w:val="003C33C9"/>
    <w:rsid w:val="003C6CD2"/>
    <w:rsid w:val="003C7825"/>
    <w:rsid w:val="003D3BED"/>
    <w:rsid w:val="003E09B8"/>
    <w:rsid w:val="003E1E4A"/>
    <w:rsid w:val="003E38D0"/>
    <w:rsid w:val="003E41A6"/>
    <w:rsid w:val="003E48B5"/>
    <w:rsid w:val="003E5228"/>
    <w:rsid w:val="003E5F2E"/>
    <w:rsid w:val="003E611C"/>
    <w:rsid w:val="003E6FDA"/>
    <w:rsid w:val="003F21FE"/>
    <w:rsid w:val="003F402B"/>
    <w:rsid w:val="003F4970"/>
    <w:rsid w:val="003F4F09"/>
    <w:rsid w:val="00400120"/>
    <w:rsid w:val="00407073"/>
    <w:rsid w:val="0041048D"/>
    <w:rsid w:val="00415DFF"/>
    <w:rsid w:val="004206D0"/>
    <w:rsid w:val="00420BBF"/>
    <w:rsid w:val="004210AF"/>
    <w:rsid w:val="004275CA"/>
    <w:rsid w:val="004319B0"/>
    <w:rsid w:val="00441008"/>
    <w:rsid w:val="00441B1F"/>
    <w:rsid w:val="00443F9F"/>
    <w:rsid w:val="0044522C"/>
    <w:rsid w:val="00454796"/>
    <w:rsid w:val="0045601C"/>
    <w:rsid w:val="0045770F"/>
    <w:rsid w:val="0045797F"/>
    <w:rsid w:val="004633CA"/>
    <w:rsid w:val="004645D6"/>
    <w:rsid w:val="004664C3"/>
    <w:rsid w:val="00466F96"/>
    <w:rsid w:val="004673BE"/>
    <w:rsid w:val="004679EA"/>
    <w:rsid w:val="00471E3A"/>
    <w:rsid w:val="0047260A"/>
    <w:rsid w:val="00474B3A"/>
    <w:rsid w:val="00474D04"/>
    <w:rsid w:val="004764E5"/>
    <w:rsid w:val="00477D44"/>
    <w:rsid w:val="00481AA2"/>
    <w:rsid w:val="00481E05"/>
    <w:rsid w:val="00483BB0"/>
    <w:rsid w:val="00484B5D"/>
    <w:rsid w:val="00484EEA"/>
    <w:rsid w:val="0048554F"/>
    <w:rsid w:val="00485A8B"/>
    <w:rsid w:val="00486028"/>
    <w:rsid w:val="00486527"/>
    <w:rsid w:val="00486537"/>
    <w:rsid w:val="004902A6"/>
    <w:rsid w:val="00490FD4"/>
    <w:rsid w:val="00491A58"/>
    <w:rsid w:val="00491C52"/>
    <w:rsid w:val="004948FE"/>
    <w:rsid w:val="00494A30"/>
    <w:rsid w:val="00495CBC"/>
    <w:rsid w:val="00495EEC"/>
    <w:rsid w:val="004A47D9"/>
    <w:rsid w:val="004A4ABF"/>
    <w:rsid w:val="004A5011"/>
    <w:rsid w:val="004A61C7"/>
    <w:rsid w:val="004A67C3"/>
    <w:rsid w:val="004A68FA"/>
    <w:rsid w:val="004A69C5"/>
    <w:rsid w:val="004A6BC9"/>
    <w:rsid w:val="004A748C"/>
    <w:rsid w:val="004A76EE"/>
    <w:rsid w:val="004A7E19"/>
    <w:rsid w:val="004A7E7A"/>
    <w:rsid w:val="004B003B"/>
    <w:rsid w:val="004B0965"/>
    <w:rsid w:val="004B1A3A"/>
    <w:rsid w:val="004B321B"/>
    <w:rsid w:val="004B3749"/>
    <w:rsid w:val="004B3E9A"/>
    <w:rsid w:val="004B5E2C"/>
    <w:rsid w:val="004C0333"/>
    <w:rsid w:val="004D0282"/>
    <w:rsid w:val="004D0D7E"/>
    <w:rsid w:val="004D7623"/>
    <w:rsid w:val="004D7798"/>
    <w:rsid w:val="004E2ECC"/>
    <w:rsid w:val="004E4094"/>
    <w:rsid w:val="004E50F5"/>
    <w:rsid w:val="004E5766"/>
    <w:rsid w:val="004E6CAC"/>
    <w:rsid w:val="004E78BB"/>
    <w:rsid w:val="004F39AB"/>
    <w:rsid w:val="005007A3"/>
    <w:rsid w:val="00510976"/>
    <w:rsid w:val="0051100B"/>
    <w:rsid w:val="00515C4E"/>
    <w:rsid w:val="0051641B"/>
    <w:rsid w:val="005214E6"/>
    <w:rsid w:val="00524A5D"/>
    <w:rsid w:val="00535A67"/>
    <w:rsid w:val="005370F4"/>
    <w:rsid w:val="0054008B"/>
    <w:rsid w:val="00540F8B"/>
    <w:rsid w:val="00541138"/>
    <w:rsid w:val="00544628"/>
    <w:rsid w:val="005466A2"/>
    <w:rsid w:val="0054672F"/>
    <w:rsid w:val="00550E1E"/>
    <w:rsid w:val="0055157E"/>
    <w:rsid w:val="0055368B"/>
    <w:rsid w:val="00554029"/>
    <w:rsid w:val="00554259"/>
    <w:rsid w:val="005549C4"/>
    <w:rsid w:val="00555577"/>
    <w:rsid w:val="005567F2"/>
    <w:rsid w:val="0055790B"/>
    <w:rsid w:val="00557FB3"/>
    <w:rsid w:val="005656F2"/>
    <w:rsid w:val="00565DC1"/>
    <w:rsid w:val="005677A0"/>
    <w:rsid w:val="005772B3"/>
    <w:rsid w:val="00583BDD"/>
    <w:rsid w:val="00585D27"/>
    <w:rsid w:val="00585E22"/>
    <w:rsid w:val="005869A5"/>
    <w:rsid w:val="00586EDE"/>
    <w:rsid w:val="00595003"/>
    <w:rsid w:val="0059691F"/>
    <w:rsid w:val="00597121"/>
    <w:rsid w:val="005A3730"/>
    <w:rsid w:val="005A408F"/>
    <w:rsid w:val="005A4119"/>
    <w:rsid w:val="005A4D91"/>
    <w:rsid w:val="005A6CA4"/>
    <w:rsid w:val="005A7096"/>
    <w:rsid w:val="005B2035"/>
    <w:rsid w:val="005B45A9"/>
    <w:rsid w:val="005B6944"/>
    <w:rsid w:val="005B6C9E"/>
    <w:rsid w:val="005C0361"/>
    <w:rsid w:val="005C2C1F"/>
    <w:rsid w:val="005C39E7"/>
    <w:rsid w:val="005C4649"/>
    <w:rsid w:val="005C5319"/>
    <w:rsid w:val="005D088B"/>
    <w:rsid w:val="005D2440"/>
    <w:rsid w:val="005D3BFC"/>
    <w:rsid w:val="005D5442"/>
    <w:rsid w:val="005D75FA"/>
    <w:rsid w:val="005E088C"/>
    <w:rsid w:val="005E08E8"/>
    <w:rsid w:val="005E44C1"/>
    <w:rsid w:val="005E4B7B"/>
    <w:rsid w:val="005E6165"/>
    <w:rsid w:val="005E6A4B"/>
    <w:rsid w:val="005E6DCD"/>
    <w:rsid w:val="005E7730"/>
    <w:rsid w:val="005E7894"/>
    <w:rsid w:val="005F0434"/>
    <w:rsid w:val="005F052D"/>
    <w:rsid w:val="005F43FB"/>
    <w:rsid w:val="005F7576"/>
    <w:rsid w:val="005F7A68"/>
    <w:rsid w:val="00601372"/>
    <w:rsid w:val="00604DE1"/>
    <w:rsid w:val="00611D97"/>
    <w:rsid w:val="00611E0B"/>
    <w:rsid w:val="006141B3"/>
    <w:rsid w:val="006148A9"/>
    <w:rsid w:val="00617DC1"/>
    <w:rsid w:val="00624CF4"/>
    <w:rsid w:val="0062684E"/>
    <w:rsid w:val="0062778E"/>
    <w:rsid w:val="00632E95"/>
    <w:rsid w:val="006363E2"/>
    <w:rsid w:val="00636686"/>
    <w:rsid w:val="00636B65"/>
    <w:rsid w:val="00640686"/>
    <w:rsid w:val="00640AA4"/>
    <w:rsid w:val="00640F75"/>
    <w:rsid w:val="006430B9"/>
    <w:rsid w:val="00645A3A"/>
    <w:rsid w:val="006540AE"/>
    <w:rsid w:val="00657179"/>
    <w:rsid w:val="00663B47"/>
    <w:rsid w:val="00673DE6"/>
    <w:rsid w:val="00674952"/>
    <w:rsid w:val="0068052A"/>
    <w:rsid w:val="0068174F"/>
    <w:rsid w:val="00681DFC"/>
    <w:rsid w:val="00682C02"/>
    <w:rsid w:val="0068354E"/>
    <w:rsid w:val="006838F3"/>
    <w:rsid w:val="00690699"/>
    <w:rsid w:val="00691FD6"/>
    <w:rsid w:val="00694082"/>
    <w:rsid w:val="00695161"/>
    <w:rsid w:val="00695988"/>
    <w:rsid w:val="006A13D4"/>
    <w:rsid w:val="006A1829"/>
    <w:rsid w:val="006A19E1"/>
    <w:rsid w:val="006A75D7"/>
    <w:rsid w:val="006B046F"/>
    <w:rsid w:val="006B2BE5"/>
    <w:rsid w:val="006B38F8"/>
    <w:rsid w:val="006B3C74"/>
    <w:rsid w:val="006B3F50"/>
    <w:rsid w:val="006B7860"/>
    <w:rsid w:val="006C1C8C"/>
    <w:rsid w:val="006C2277"/>
    <w:rsid w:val="006C3D7A"/>
    <w:rsid w:val="006C519D"/>
    <w:rsid w:val="006C5B78"/>
    <w:rsid w:val="006C7986"/>
    <w:rsid w:val="006D416A"/>
    <w:rsid w:val="006D6C91"/>
    <w:rsid w:val="006D7560"/>
    <w:rsid w:val="006D7BE6"/>
    <w:rsid w:val="006E29FF"/>
    <w:rsid w:val="006E5ED7"/>
    <w:rsid w:val="006E6104"/>
    <w:rsid w:val="006F00A5"/>
    <w:rsid w:val="006F0A9C"/>
    <w:rsid w:val="006F2BF9"/>
    <w:rsid w:val="006F4C4C"/>
    <w:rsid w:val="006F79D3"/>
    <w:rsid w:val="00703D19"/>
    <w:rsid w:val="00707575"/>
    <w:rsid w:val="00710D3F"/>
    <w:rsid w:val="0071194E"/>
    <w:rsid w:val="00721FB1"/>
    <w:rsid w:val="00722E33"/>
    <w:rsid w:val="007263D7"/>
    <w:rsid w:val="00732813"/>
    <w:rsid w:val="00735E5C"/>
    <w:rsid w:val="00735F64"/>
    <w:rsid w:val="00737F51"/>
    <w:rsid w:val="007423BA"/>
    <w:rsid w:val="007445EE"/>
    <w:rsid w:val="00744D74"/>
    <w:rsid w:val="00745935"/>
    <w:rsid w:val="00745B25"/>
    <w:rsid w:val="0075266E"/>
    <w:rsid w:val="00754F77"/>
    <w:rsid w:val="00756474"/>
    <w:rsid w:val="007565E4"/>
    <w:rsid w:val="00761709"/>
    <w:rsid w:val="00763E4A"/>
    <w:rsid w:val="0076403A"/>
    <w:rsid w:val="007660F5"/>
    <w:rsid w:val="0076624E"/>
    <w:rsid w:val="007703F3"/>
    <w:rsid w:val="007724C7"/>
    <w:rsid w:val="00775133"/>
    <w:rsid w:val="00780CBD"/>
    <w:rsid w:val="00784A00"/>
    <w:rsid w:val="00786969"/>
    <w:rsid w:val="00787678"/>
    <w:rsid w:val="00790C67"/>
    <w:rsid w:val="00791893"/>
    <w:rsid w:val="007952AB"/>
    <w:rsid w:val="00795308"/>
    <w:rsid w:val="007A414E"/>
    <w:rsid w:val="007A54BF"/>
    <w:rsid w:val="007A586E"/>
    <w:rsid w:val="007A5C14"/>
    <w:rsid w:val="007B37AE"/>
    <w:rsid w:val="007B3891"/>
    <w:rsid w:val="007B4945"/>
    <w:rsid w:val="007B5EF5"/>
    <w:rsid w:val="007C1117"/>
    <w:rsid w:val="007C474D"/>
    <w:rsid w:val="007C4987"/>
    <w:rsid w:val="007D1CE9"/>
    <w:rsid w:val="007D5C97"/>
    <w:rsid w:val="007E08ED"/>
    <w:rsid w:val="007E5964"/>
    <w:rsid w:val="007E6A1D"/>
    <w:rsid w:val="007E6A9A"/>
    <w:rsid w:val="007E723C"/>
    <w:rsid w:val="007F05EF"/>
    <w:rsid w:val="007F0733"/>
    <w:rsid w:val="007F17CB"/>
    <w:rsid w:val="007F1B48"/>
    <w:rsid w:val="007F2AA2"/>
    <w:rsid w:val="007F2D75"/>
    <w:rsid w:val="007F4D3A"/>
    <w:rsid w:val="007F517B"/>
    <w:rsid w:val="007F5F94"/>
    <w:rsid w:val="007F76A8"/>
    <w:rsid w:val="00802C71"/>
    <w:rsid w:val="008046C6"/>
    <w:rsid w:val="00804C13"/>
    <w:rsid w:val="00804E7C"/>
    <w:rsid w:val="00805200"/>
    <w:rsid w:val="008069AF"/>
    <w:rsid w:val="008071FD"/>
    <w:rsid w:val="00810752"/>
    <w:rsid w:val="00811B83"/>
    <w:rsid w:val="00811BC1"/>
    <w:rsid w:val="008123D5"/>
    <w:rsid w:val="00813BFE"/>
    <w:rsid w:val="00817870"/>
    <w:rsid w:val="00817E7F"/>
    <w:rsid w:val="00820219"/>
    <w:rsid w:val="00821296"/>
    <w:rsid w:val="0082353A"/>
    <w:rsid w:val="00823EBC"/>
    <w:rsid w:val="008250DF"/>
    <w:rsid w:val="008262BD"/>
    <w:rsid w:val="008275DC"/>
    <w:rsid w:val="00830066"/>
    <w:rsid w:val="0083132C"/>
    <w:rsid w:val="00831723"/>
    <w:rsid w:val="00832EE2"/>
    <w:rsid w:val="0083358B"/>
    <w:rsid w:val="008358D1"/>
    <w:rsid w:val="0083691A"/>
    <w:rsid w:val="00837E79"/>
    <w:rsid w:val="00845B33"/>
    <w:rsid w:val="00846CDE"/>
    <w:rsid w:val="00852F4F"/>
    <w:rsid w:val="00854DA3"/>
    <w:rsid w:val="00857C79"/>
    <w:rsid w:val="00860D89"/>
    <w:rsid w:val="00861AD0"/>
    <w:rsid w:val="008626E3"/>
    <w:rsid w:val="00863139"/>
    <w:rsid w:val="00863DDD"/>
    <w:rsid w:val="008657C0"/>
    <w:rsid w:val="008663B9"/>
    <w:rsid w:val="00872C10"/>
    <w:rsid w:val="008802FB"/>
    <w:rsid w:val="00882C2D"/>
    <w:rsid w:val="00884AD7"/>
    <w:rsid w:val="00886422"/>
    <w:rsid w:val="00892E14"/>
    <w:rsid w:val="00893B41"/>
    <w:rsid w:val="00894A43"/>
    <w:rsid w:val="008A04F6"/>
    <w:rsid w:val="008A260B"/>
    <w:rsid w:val="008A641A"/>
    <w:rsid w:val="008A6B76"/>
    <w:rsid w:val="008B20F5"/>
    <w:rsid w:val="008B2251"/>
    <w:rsid w:val="008B2AB9"/>
    <w:rsid w:val="008B4BE1"/>
    <w:rsid w:val="008B5D6E"/>
    <w:rsid w:val="008B60B1"/>
    <w:rsid w:val="008B6CE6"/>
    <w:rsid w:val="008C2BBA"/>
    <w:rsid w:val="008C3035"/>
    <w:rsid w:val="008C63D9"/>
    <w:rsid w:val="008C78BB"/>
    <w:rsid w:val="008C7E93"/>
    <w:rsid w:val="008D0B16"/>
    <w:rsid w:val="008D31A3"/>
    <w:rsid w:val="008D47B2"/>
    <w:rsid w:val="008D5E7F"/>
    <w:rsid w:val="008D6030"/>
    <w:rsid w:val="008D6454"/>
    <w:rsid w:val="008D669B"/>
    <w:rsid w:val="008D6E84"/>
    <w:rsid w:val="008E1DB1"/>
    <w:rsid w:val="008E2F8E"/>
    <w:rsid w:val="008E5611"/>
    <w:rsid w:val="008E57B2"/>
    <w:rsid w:val="008E5D44"/>
    <w:rsid w:val="008F5801"/>
    <w:rsid w:val="0090454E"/>
    <w:rsid w:val="009053C2"/>
    <w:rsid w:val="00905789"/>
    <w:rsid w:val="0090602D"/>
    <w:rsid w:val="00906DE2"/>
    <w:rsid w:val="00921EF0"/>
    <w:rsid w:val="009245F6"/>
    <w:rsid w:val="00926FBE"/>
    <w:rsid w:val="00931E52"/>
    <w:rsid w:val="00934631"/>
    <w:rsid w:val="00936142"/>
    <w:rsid w:val="00937C7A"/>
    <w:rsid w:val="0094021C"/>
    <w:rsid w:val="0094093B"/>
    <w:rsid w:val="0094099C"/>
    <w:rsid w:val="00946661"/>
    <w:rsid w:val="0095066F"/>
    <w:rsid w:val="0095512B"/>
    <w:rsid w:val="00957BB2"/>
    <w:rsid w:val="00961C39"/>
    <w:rsid w:val="00963CEF"/>
    <w:rsid w:val="00964167"/>
    <w:rsid w:val="00964CC0"/>
    <w:rsid w:val="00966D62"/>
    <w:rsid w:val="00967E80"/>
    <w:rsid w:val="00971060"/>
    <w:rsid w:val="00971432"/>
    <w:rsid w:val="00971935"/>
    <w:rsid w:val="009763B6"/>
    <w:rsid w:val="00976445"/>
    <w:rsid w:val="00976C63"/>
    <w:rsid w:val="00984A2A"/>
    <w:rsid w:val="009868D5"/>
    <w:rsid w:val="009869CE"/>
    <w:rsid w:val="0099021A"/>
    <w:rsid w:val="009922B4"/>
    <w:rsid w:val="00993E0B"/>
    <w:rsid w:val="009946DD"/>
    <w:rsid w:val="009957B3"/>
    <w:rsid w:val="0099700E"/>
    <w:rsid w:val="00997C68"/>
    <w:rsid w:val="009A43EE"/>
    <w:rsid w:val="009A77D4"/>
    <w:rsid w:val="009A7C1E"/>
    <w:rsid w:val="009B2267"/>
    <w:rsid w:val="009B26B5"/>
    <w:rsid w:val="009B4FE5"/>
    <w:rsid w:val="009C0F47"/>
    <w:rsid w:val="009C1C71"/>
    <w:rsid w:val="009C1D33"/>
    <w:rsid w:val="009C2364"/>
    <w:rsid w:val="009C7D38"/>
    <w:rsid w:val="009D1495"/>
    <w:rsid w:val="009D56DD"/>
    <w:rsid w:val="009D7D87"/>
    <w:rsid w:val="009E1B51"/>
    <w:rsid w:val="009E679C"/>
    <w:rsid w:val="009F35EC"/>
    <w:rsid w:val="009F5B3F"/>
    <w:rsid w:val="009F68C1"/>
    <w:rsid w:val="009F6DD9"/>
    <w:rsid w:val="009F7DE1"/>
    <w:rsid w:val="009F7E93"/>
    <w:rsid w:val="00A000A4"/>
    <w:rsid w:val="00A01857"/>
    <w:rsid w:val="00A032F5"/>
    <w:rsid w:val="00A04DDD"/>
    <w:rsid w:val="00A0669A"/>
    <w:rsid w:val="00A12F0D"/>
    <w:rsid w:val="00A16404"/>
    <w:rsid w:val="00A20C95"/>
    <w:rsid w:val="00A232B4"/>
    <w:rsid w:val="00A234A0"/>
    <w:rsid w:val="00A23B75"/>
    <w:rsid w:val="00A24711"/>
    <w:rsid w:val="00A2599D"/>
    <w:rsid w:val="00A30750"/>
    <w:rsid w:val="00A32E93"/>
    <w:rsid w:val="00A331DC"/>
    <w:rsid w:val="00A3357D"/>
    <w:rsid w:val="00A34E9C"/>
    <w:rsid w:val="00A37D1F"/>
    <w:rsid w:val="00A37F67"/>
    <w:rsid w:val="00A40B54"/>
    <w:rsid w:val="00A430B7"/>
    <w:rsid w:val="00A432A7"/>
    <w:rsid w:val="00A446A5"/>
    <w:rsid w:val="00A51303"/>
    <w:rsid w:val="00A528F2"/>
    <w:rsid w:val="00A61099"/>
    <w:rsid w:val="00A616A7"/>
    <w:rsid w:val="00A624BB"/>
    <w:rsid w:val="00A63D2E"/>
    <w:rsid w:val="00A7047E"/>
    <w:rsid w:val="00A75AC2"/>
    <w:rsid w:val="00A770E8"/>
    <w:rsid w:val="00A777C0"/>
    <w:rsid w:val="00A77C5E"/>
    <w:rsid w:val="00A830B5"/>
    <w:rsid w:val="00A835EB"/>
    <w:rsid w:val="00A9096E"/>
    <w:rsid w:val="00A91959"/>
    <w:rsid w:val="00A96489"/>
    <w:rsid w:val="00A97418"/>
    <w:rsid w:val="00AA1622"/>
    <w:rsid w:val="00AA2219"/>
    <w:rsid w:val="00AA2DF0"/>
    <w:rsid w:val="00AA361A"/>
    <w:rsid w:val="00AA52A5"/>
    <w:rsid w:val="00AB040F"/>
    <w:rsid w:val="00AB09C4"/>
    <w:rsid w:val="00AB18AB"/>
    <w:rsid w:val="00AB4CAB"/>
    <w:rsid w:val="00AB6035"/>
    <w:rsid w:val="00AB6991"/>
    <w:rsid w:val="00AC502D"/>
    <w:rsid w:val="00AC6CD4"/>
    <w:rsid w:val="00AD0E4D"/>
    <w:rsid w:val="00AD218A"/>
    <w:rsid w:val="00AD244D"/>
    <w:rsid w:val="00AD5CF2"/>
    <w:rsid w:val="00AD6859"/>
    <w:rsid w:val="00AE125E"/>
    <w:rsid w:val="00AE1C5E"/>
    <w:rsid w:val="00AE5827"/>
    <w:rsid w:val="00AF0106"/>
    <w:rsid w:val="00AF1418"/>
    <w:rsid w:val="00B00A18"/>
    <w:rsid w:val="00B00F9A"/>
    <w:rsid w:val="00B039FE"/>
    <w:rsid w:val="00B0430B"/>
    <w:rsid w:val="00B05EAF"/>
    <w:rsid w:val="00B07C2A"/>
    <w:rsid w:val="00B15183"/>
    <w:rsid w:val="00B202CE"/>
    <w:rsid w:val="00B21539"/>
    <w:rsid w:val="00B22555"/>
    <w:rsid w:val="00B22BF8"/>
    <w:rsid w:val="00B22D99"/>
    <w:rsid w:val="00B22EEB"/>
    <w:rsid w:val="00B23270"/>
    <w:rsid w:val="00B271D9"/>
    <w:rsid w:val="00B34723"/>
    <w:rsid w:val="00B41931"/>
    <w:rsid w:val="00B433E8"/>
    <w:rsid w:val="00B43534"/>
    <w:rsid w:val="00B443AA"/>
    <w:rsid w:val="00B44DB5"/>
    <w:rsid w:val="00B45BD6"/>
    <w:rsid w:val="00B507E2"/>
    <w:rsid w:val="00B564A9"/>
    <w:rsid w:val="00B5716E"/>
    <w:rsid w:val="00B57776"/>
    <w:rsid w:val="00B60CFB"/>
    <w:rsid w:val="00B62FD4"/>
    <w:rsid w:val="00B65006"/>
    <w:rsid w:val="00B65A84"/>
    <w:rsid w:val="00B65AA3"/>
    <w:rsid w:val="00B67FF6"/>
    <w:rsid w:val="00B7042F"/>
    <w:rsid w:val="00B71280"/>
    <w:rsid w:val="00B733AC"/>
    <w:rsid w:val="00B73A92"/>
    <w:rsid w:val="00B7686F"/>
    <w:rsid w:val="00B76E78"/>
    <w:rsid w:val="00B9082F"/>
    <w:rsid w:val="00B918BB"/>
    <w:rsid w:val="00B929D2"/>
    <w:rsid w:val="00B92B75"/>
    <w:rsid w:val="00B9329E"/>
    <w:rsid w:val="00B94B7E"/>
    <w:rsid w:val="00BA21EA"/>
    <w:rsid w:val="00BA41E6"/>
    <w:rsid w:val="00BB16CA"/>
    <w:rsid w:val="00BB4679"/>
    <w:rsid w:val="00BB59B2"/>
    <w:rsid w:val="00BB63F9"/>
    <w:rsid w:val="00BB691B"/>
    <w:rsid w:val="00BC0A6A"/>
    <w:rsid w:val="00BC446F"/>
    <w:rsid w:val="00BC46AB"/>
    <w:rsid w:val="00BC50CB"/>
    <w:rsid w:val="00BD03FB"/>
    <w:rsid w:val="00BD0626"/>
    <w:rsid w:val="00BD096F"/>
    <w:rsid w:val="00BD2AA4"/>
    <w:rsid w:val="00BD3210"/>
    <w:rsid w:val="00BD413F"/>
    <w:rsid w:val="00BD4AD5"/>
    <w:rsid w:val="00BD53C0"/>
    <w:rsid w:val="00BD5973"/>
    <w:rsid w:val="00BE5B2D"/>
    <w:rsid w:val="00BF0CC8"/>
    <w:rsid w:val="00BF425D"/>
    <w:rsid w:val="00BF4407"/>
    <w:rsid w:val="00BF4759"/>
    <w:rsid w:val="00BF5A00"/>
    <w:rsid w:val="00BF7868"/>
    <w:rsid w:val="00BF7C7E"/>
    <w:rsid w:val="00C0092C"/>
    <w:rsid w:val="00C06A60"/>
    <w:rsid w:val="00C0706D"/>
    <w:rsid w:val="00C0733A"/>
    <w:rsid w:val="00C07835"/>
    <w:rsid w:val="00C153AD"/>
    <w:rsid w:val="00C21EBA"/>
    <w:rsid w:val="00C22986"/>
    <w:rsid w:val="00C229A0"/>
    <w:rsid w:val="00C23A11"/>
    <w:rsid w:val="00C255FB"/>
    <w:rsid w:val="00C26D44"/>
    <w:rsid w:val="00C335FC"/>
    <w:rsid w:val="00C357BA"/>
    <w:rsid w:val="00C35B88"/>
    <w:rsid w:val="00C35CE1"/>
    <w:rsid w:val="00C35F2C"/>
    <w:rsid w:val="00C36024"/>
    <w:rsid w:val="00C374F1"/>
    <w:rsid w:val="00C435CE"/>
    <w:rsid w:val="00C441E8"/>
    <w:rsid w:val="00C44BA5"/>
    <w:rsid w:val="00C54E4F"/>
    <w:rsid w:val="00C56068"/>
    <w:rsid w:val="00C57CF4"/>
    <w:rsid w:val="00C60CD3"/>
    <w:rsid w:val="00C61014"/>
    <w:rsid w:val="00C632B8"/>
    <w:rsid w:val="00C65FCD"/>
    <w:rsid w:val="00C67648"/>
    <w:rsid w:val="00C7018F"/>
    <w:rsid w:val="00C7078F"/>
    <w:rsid w:val="00C72B44"/>
    <w:rsid w:val="00C72F09"/>
    <w:rsid w:val="00C771BF"/>
    <w:rsid w:val="00C84361"/>
    <w:rsid w:val="00C84664"/>
    <w:rsid w:val="00C85186"/>
    <w:rsid w:val="00C869AA"/>
    <w:rsid w:val="00C87233"/>
    <w:rsid w:val="00C904AA"/>
    <w:rsid w:val="00C96FF6"/>
    <w:rsid w:val="00C97419"/>
    <w:rsid w:val="00CA085C"/>
    <w:rsid w:val="00CA11BD"/>
    <w:rsid w:val="00CA19C1"/>
    <w:rsid w:val="00CA1C88"/>
    <w:rsid w:val="00CA41F5"/>
    <w:rsid w:val="00CB058B"/>
    <w:rsid w:val="00CB0D6A"/>
    <w:rsid w:val="00CB1A01"/>
    <w:rsid w:val="00CB4038"/>
    <w:rsid w:val="00CB41C6"/>
    <w:rsid w:val="00CB5465"/>
    <w:rsid w:val="00CB7EB4"/>
    <w:rsid w:val="00CC11CF"/>
    <w:rsid w:val="00CD1F44"/>
    <w:rsid w:val="00CD41FA"/>
    <w:rsid w:val="00CD42F3"/>
    <w:rsid w:val="00CE1D11"/>
    <w:rsid w:val="00CE566D"/>
    <w:rsid w:val="00CF0C62"/>
    <w:rsid w:val="00CF190D"/>
    <w:rsid w:val="00CF1D7F"/>
    <w:rsid w:val="00CF2C88"/>
    <w:rsid w:val="00CF459E"/>
    <w:rsid w:val="00CF794B"/>
    <w:rsid w:val="00D015CD"/>
    <w:rsid w:val="00D03220"/>
    <w:rsid w:val="00D05C44"/>
    <w:rsid w:val="00D065E8"/>
    <w:rsid w:val="00D12D15"/>
    <w:rsid w:val="00D17106"/>
    <w:rsid w:val="00D21C69"/>
    <w:rsid w:val="00D24272"/>
    <w:rsid w:val="00D24698"/>
    <w:rsid w:val="00D24F72"/>
    <w:rsid w:val="00D25941"/>
    <w:rsid w:val="00D34755"/>
    <w:rsid w:val="00D34BC5"/>
    <w:rsid w:val="00D36CF5"/>
    <w:rsid w:val="00D41063"/>
    <w:rsid w:val="00D4164C"/>
    <w:rsid w:val="00D41A8D"/>
    <w:rsid w:val="00D41C9E"/>
    <w:rsid w:val="00D42384"/>
    <w:rsid w:val="00D426EA"/>
    <w:rsid w:val="00D45973"/>
    <w:rsid w:val="00D46E93"/>
    <w:rsid w:val="00D50587"/>
    <w:rsid w:val="00D50A0E"/>
    <w:rsid w:val="00D50E3E"/>
    <w:rsid w:val="00D50FE8"/>
    <w:rsid w:val="00D514F1"/>
    <w:rsid w:val="00D525BA"/>
    <w:rsid w:val="00D52E7B"/>
    <w:rsid w:val="00D53188"/>
    <w:rsid w:val="00D55233"/>
    <w:rsid w:val="00D57566"/>
    <w:rsid w:val="00D64B7C"/>
    <w:rsid w:val="00D65525"/>
    <w:rsid w:val="00D66A50"/>
    <w:rsid w:val="00D70AEC"/>
    <w:rsid w:val="00D74046"/>
    <w:rsid w:val="00D75DC5"/>
    <w:rsid w:val="00D77664"/>
    <w:rsid w:val="00D776D5"/>
    <w:rsid w:val="00D808A9"/>
    <w:rsid w:val="00D81E58"/>
    <w:rsid w:val="00D87228"/>
    <w:rsid w:val="00D872C1"/>
    <w:rsid w:val="00D9408D"/>
    <w:rsid w:val="00D94796"/>
    <w:rsid w:val="00DA5EAF"/>
    <w:rsid w:val="00DB112B"/>
    <w:rsid w:val="00DB2D66"/>
    <w:rsid w:val="00DB33B9"/>
    <w:rsid w:val="00DB619A"/>
    <w:rsid w:val="00DB7AF3"/>
    <w:rsid w:val="00DB7EF8"/>
    <w:rsid w:val="00DC1426"/>
    <w:rsid w:val="00DC377A"/>
    <w:rsid w:val="00DD15F2"/>
    <w:rsid w:val="00DD1B82"/>
    <w:rsid w:val="00DD542F"/>
    <w:rsid w:val="00DD7033"/>
    <w:rsid w:val="00DE35D9"/>
    <w:rsid w:val="00DE588B"/>
    <w:rsid w:val="00DF1072"/>
    <w:rsid w:val="00DF19F1"/>
    <w:rsid w:val="00DF1B14"/>
    <w:rsid w:val="00DF2422"/>
    <w:rsid w:val="00DF4990"/>
    <w:rsid w:val="00DF51F1"/>
    <w:rsid w:val="00E0351C"/>
    <w:rsid w:val="00E039CD"/>
    <w:rsid w:val="00E079EB"/>
    <w:rsid w:val="00E07DCD"/>
    <w:rsid w:val="00E10427"/>
    <w:rsid w:val="00E111F4"/>
    <w:rsid w:val="00E11825"/>
    <w:rsid w:val="00E122BD"/>
    <w:rsid w:val="00E136F6"/>
    <w:rsid w:val="00E15CAF"/>
    <w:rsid w:val="00E16F47"/>
    <w:rsid w:val="00E171FB"/>
    <w:rsid w:val="00E177DE"/>
    <w:rsid w:val="00E21332"/>
    <w:rsid w:val="00E2682A"/>
    <w:rsid w:val="00E26911"/>
    <w:rsid w:val="00E3052C"/>
    <w:rsid w:val="00E32094"/>
    <w:rsid w:val="00E324D2"/>
    <w:rsid w:val="00E36CD7"/>
    <w:rsid w:val="00E37C78"/>
    <w:rsid w:val="00E4023F"/>
    <w:rsid w:val="00E41465"/>
    <w:rsid w:val="00E53580"/>
    <w:rsid w:val="00E538CA"/>
    <w:rsid w:val="00E562A4"/>
    <w:rsid w:val="00E5653F"/>
    <w:rsid w:val="00E60315"/>
    <w:rsid w:val="00E628A3"/>
    <w:rsid w:val="00E62C10"/>
    <w:rsid w:val="00E73552"/>
    <w:rsid w:val="00E73D26"/>
    <w:rsid w:val="00E74913"/>
    <w:rsid w:val="00E74AA9"/>
    <w:rsid w:val="00E8143C"/>
    <w:rsid w:val="00E82699"/>
    <w:rsid w:val="00E93246"/>
    <w:rsid w:val="00E93A6F"/>
    <w:rsid w:val="00E93B8F"/>
    <w:rsid w:val="00E958C6"/>
    <w:rsid w:val="00EA049A"/>
    <w:rsid w:val="00EA1E72"/>
    <w:rsid w:val="00EA5F8E"/>
    <w:rsid w:val="00EA6047"/>
    <w:rsid w:val="00EA6656"/>
    <w:rsid w:val="00EA7543"/>
    <w:rsid w:val="00EA7675"/>
    <w:rsid w:val="00EA7B72"/>
    <w:rsid w:val="00EB032C"/>
    <w:rsid w:val="00EB1500"/>
    <w:rsid w:val="00EB4876"/>
    <w:rsid w:val="00EB4EBC"/>
    <w:rsid w:val="00EB6D5B"/>
    <w:rsid w:val="00EB73E4"/>
    <w:rsid w:val="00EC0880"/>
    <w:rsid w:val="00EC217E"/>
    <w:rsid w:val="00EC6CA5"/>
    <w:rsid w:val="00ED701C"/>
    <w:rsid w:val="00ED7049"/>
    <w:rsid w:val="00ED76B0"/>
    <w:rsid w:val="00EE0EF7"/>
    <w:rsid w:val="00EE0F48"/>
    <w:rsid w:val="00EE16BA"/>
    <w:rsid w:val="00EE6D01"/>
    <w:rsid w:val="00EE7096"/>
    <w:rsid w:val="00EF100D"/>
    <w:rsid w:val="00EF3612"/>
    <w:rsid w:val="00EF6963"/>
    <w:rsid w:val="00EF7408"/>
    <w:rsid w:val="00F0245E"/>
    <w:rsid w:val="00F02A22"/>
    <w:rsid w:val="00F02D7D"/>
    <w:rsid w:val="00F0553D"/>
    <w:rsid w:val="00F07BFE"/>
    <w:rsid w:val="00F07F27"/>
    <w:rsid w:val="00F106C0"/>
    <w:rsid w:val="00F12A10"/>
    <w:rsid w:val="00F14E5C"/>
    <w:rsid w:val="00F22251"/>
    <w:rsid w:val="00F2400F"/>
    <w:rsid w:val="00F25316"/>
    <w:rsid w:val="00F26590"/>
    <w:rsid w:val="00F2661B"/>
    <w:rsid w:val="00F273D0"/>
    <w:rsid w:val="00F31068"/>
    <w:rsid w:val="00F3154E"/>
    <w:rsid w:val="00F318F1"/>
    <w:rsid w:val="00F319D8"/>
    <w:rsid w:val="00F33748"/>
    <w:rsid w:val="00F33F5C"/>
    <w:rsid w:val="00F3567C"/>
    <w:rsid w:val="00F35C24"/>
    <w:rsid w:val="00F3668E"/>
    <w:rsid w:val="00F374BE"/>
    <w:rsid w:val="00F463DC"/>
    <w:rsid w:val="00F51AAC"/>
    <w:rsid w:val="00F52663"/>
    <w:rsid w:val="00F54507"/>
    <w:rsid w:val="00F55204"/>
    <w:rsid w:val="00F56917"/>
    <w:rsid w:val="00F603FE"/>
    <w:rsid w:val="00F63CC4"/>
    <w:rsid w:val="00F640D9"/>
    <w:rsid w:val="00F64BEE"/>
    <w:rsid w:val="00F67011"/>
    <w:rsid w:val="00F670DA"/>
    <w:rsid w:val="00F70187"/>
    <w:rsid w:val="00F7038D"/>
    <w:rsid w:val="00F721C9"/>
    <w:rsid w:val="00F74BB6"/>
    <w:rsid w:val="00F75DB6"/>
    <w:rsid w:val="00F76866"/>
    <w:rsid w:val="00F77503"/>
    <w:rsid w:val="00F8013B"/>
    <w:rsid w:val="00F837A5"/>
    <w:rsid w:val="00F85B99"/>
    <w:rsid w:val="00F8672B"/>
    <w:rsid w:val="00F87A1B"/>
    <w:rsid w:val="00F90908"/>
    <w:rsid w:val="00F9415C"/>
    <w:rsid w:val="00F96E65"/>
    <w:rsid w:val="00FB0655"/>
    <w:rsid w:val="00FB24A7"/>
    <w:rsid w:val="00FB391E"/>
    <w:rsid w:val="00FC1D38"/>
    <w:rsid w:val="00FC2455"/>
    <w:rsid w:val="00FC3200"/>
    <w:rsid w:val="00FC7650"/>
    <w:rsid w:val="00FD136C"/>
    <w:rsid w:val="00FD5AC0"/>
    <w:rsid w:val="00FD661B"/>
    <w:rsid w:val="00FD7437"/>
    <w:rsid w:val="00FE2236"/>
    <w:rsid w:val="00FE2C0E"/>
    <w:rsid w:val="00FE31A4"/>
    <w:rsid w:val="00FE5C75"/>
    <w:rsid w:val="00FE5CBA"/>
    <w:rsid w:val="00FE670C"/>
    <w:rsid w:val="00FF136D"/>
    <w:rsid w:val="00FF4B97"/>
    <w:rsid w:val="00FF5E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933CAC"/>
  <w15:docId w15:val="{698A0DC5-CC24-462B-B9EB-8F2216CF0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5D7"/>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7A5C1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Accentuationlgr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7A5C14"/>
    <w:rPr>
      <w:rFonts w:asciiTheme="majorHAnsi" w:eastAsiaTheme="majorEastAsia" w:hAnsiTheme="majorHAnsi" w:cstheme="majorBidi"/>
      <w:color w:val="2E74B5" w:themeColor="accent1" w:themeShade="BF"/>
    </w:rPr>
  </w:style>
  <w:style w:type="paragraph" w:styleId="Notedebasdepage">
    <w:name w:val="footnote text"/>
    <w:basedOn w:val="Normal"/>
    <w:link w:val="NotedebasdepageCar"/>
    <w:uiPriority w:val="99"/>
    <w:semiHidden/>
    <w:unhideWhenUsed/>
    <w:rsid w:val="003A76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A762F"/>
    <w:rPr>
      <w:sz w:val="20"/>
      <w:szCs w:val="20"/>
    </w:rPr>
  </w:style>
  <w:style w:type="character" w:styleId="Appelnotedebasdep">
    <w:name w:val="footnote reference"/>
    <w:basedOn w:val="Policepardfaut"/>
    <w:uiPriority w:val="99"/>
    <w:semiHidden/>
    <w:unhideWhenUsed/>
    <w:rsid w:val="003A762F"/>
    <w:rPr>
      <w:vertAlign w:val="superscript"/>
    </w:rPr>
  </w:style>
  <w:style w:type="paragraph" w:styleId="Textedebulles">
    <w:name w:val="Balloon Text"/>
    <w:basedOn w:val="Normal"/>
    <w:link w:val="TextedebullesCar"/>
    <w:uiPriority w:val="99"/>
    <w:semiHidden/>
    <w:unhideWhenUsed/>
    <w:rsid w:val="0000500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05002"/>
    <w:rPr>
      <w:rFonts w:ascii="Segoe UI" w:hAnsi="Segoe UI" w:cs="Segoe UI"/>
      <w:sz w:val="18"/>
      <w:szCs w:val="18"/>
    </w:rPr>
  </w:style>
  <w:style w:type="paragraph" w:styleId="Sansinterligne">
    <w:name w:val="No Spacing"/>
    <w:uiPriority w:val="1"/>
    <w:qFormat/>
    <w:rsid w:val="00863DDD"/>
    <w:pPr>
      <w:spacing w:after="0" w:line="240" w:lineRule="auto"/>
    </w:pPr>
  </w:style>
  <w:style w:type="character" w:customStyle="1" w:styleId="Mentionnonrsolue2">
    <w:name w:val="Mention non résolue2"/>
    <w:basedOn w:val="Policepardfaut"/>
    <w:uiPriority w:val="99"/>
    <w:semiHidden/>
    <w:unhideWhenUsed/>
    <w:rsid w:val="00090B99"/>
    <w:rPr>
      <w:color w:val="605E5C"/>
      <w:shd w:val="clear" w:color="auto" w:fill="E1DFDD"/>
    </w:rPr>
  </w:style>
  <w:style w:type="character" w:customStyle="1" w:styleId="screenelement">
    <w:name w:val="screenelement"/>
    <w:basedOn w:val="Policepardfaut"/>
    <w:rsid w:val="00F54507"/>
  </w:style>
  <w:style w:type="character" w:customStyle="1" w:styleId="almarntag">
    <w:name w:val="almarntag"/>
    <w:basedOn w:val="Policepardfaut"/>
    <w:rsid w:val="00F54507"/>
  </w:style>
  <w:style w:type="paragraph" w:styleId="NormalWeb">
    <w:name w:val="Normal (Web)"/>
    <w:basedOn w:val="Normal"/>
    <w:uiPriority w:val="99"/>
    <w:semiHidden/>
    <w:unhideWhenUsed/>
    <w:rsid w:val="00F5450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471E3A"/>
    <w:pPr>
      <w:outlineLvl w:val="9"/>
    </w:pPr>
    <w:rPr>
      <w:lang w:eastAsia="fr-FR"/>
    </w:rPr>
  </w:style>
  <w:style w:type="paragraph" w:styleId="TM1">
    <w:name w:val="toc 1"/>
    <w:basedOn w:val="Normal"/>
    <w:next w:val="Normal"/>
    <w:autoRedefine/>
    <w:uiPriority w:val="39"/>
    <w:unhideWhenUsed/>
    <w:rsid w:val="00471E3A"/>
    <w:pPr>
      <w:spacing w:after="100"/>
    </w:pPr>
  </w:style>
  <w:style w:type="paragraph" w:styleId="TM3">
    <w:name w:val="toc 3"/>
    <w:basedOn w:val="Normal"/>
    <w:next w:val="Normal"/>
    <w:autoRedefine/>
    <w:uiPriority w:val="39"/>
    <w:unhideWhenUsed/>
    <w:rsid w:val="00471E3A"/>
    <w:pPr>
      <w:spacing w:after="100"/>
      <w:ind w:left="440"/>
    </w:pPr>
  </w:style>
  <w:style w:type="paragraph" w:styleId="TM2">
    <w:name w:val="toc 2"/>
    <w:basedOn w:val="Normal"/>
    <w:next w:val="Normal"/>
    <w:autoRedefine/>
    <w:uiPriority w:val="39"/>
    <w:unhideWhenUsed/>
    <w:rsid w:val="00471E3A"/>
    <w:pPr>
      <w:spacing w:after="100"/>
      <w:ind w:left="220"/>
    </w:pPr>
  </w:style>
  <w:style w:type="character" w:styleId="Mentionnonrsolue">
    <w:name w:val="Unresolved Mention"/>
    <w:basedOn w:val="Policepardfaut"/>
    <w:uiPriority w:val="99"/>
    <w:semiHidden/>
    <w:unhideWhenUsed/>
    <w:rsid w:val="00BC4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3821">
      <w:bodyDiv w:val="1"/>
      <w:marLeft w:val="0"/>
      <w:marRight w:val="0"/>
      <w:marTop w:val="0"/>
      <w:marBottom w:val="0"/>
      <w:divBdr>
        <w:top w:val="none" w:sz="0" w:space="0" w:color="auto"/>
        <w:left w:val="none" w:sz="0" w:space="0" w:color="auto"/>
        <w:bottom w:val="none" w:sz="0" w:space="0" w:color="auto"/>
        <w:right w:val="none" w:sz="0" w:space="0" w:color="auto"/>
      </w:divBdr>
      <w:divsChild>
        <w:div w:id="475953597">
          <w:marLeft w:val="0"/>
          <w:marRight w:val="0"/>
          <w:marTop w:val="0"/>
          <w:marBottom w:val="0"/>
          <w:divBdr>
            <w:top w:val="none" w:sz="0" w:space="0" w:color="auto"/>
            <w:left w:val="none" w:sz="0" w:space="0" w:color="auto"/>
            <w:bottom w:val="none" w:sz="0" w:space="0" w:color="auto"/>
            <w:right w:val="none" w:sz="0" w:space="0" w:color="auto"/>
          </w:divBdr>
        </w:div>
      </w:divsChild>
    </w:div>
    <w:div w:id="17706453">
      <w:bodyDiv w:val="1"/>
      <w:marLeft w:val="0"/>
      <w:marRight w:val="0"/>
      <w:marTop w:val="0"/>
      <w:marBottom w:val="0"/>
      <w:divBdr>
        <w:top w:val="none" w:sz="0" w:space="0" w:color="auto"/>
        <w:left w:val="none" w:sz="0" w:space="0" w:color="auto"/>
        <w:bottom w:val="none" w:sz="0" w:space="0" w:color="auto"/>
        <w:right w:val="none" w:sz="0" w:space="0" w:color="auto"/>
      </w:divBdr>
    </w:div>
    <w:div w:id="53281122">
      <w:bodyDiv w:val="1"/>
      <w:marLeft w:val="0"/>
      <w:marRight w:val="0"/>
      <w:marTop w:val="0"/>
      <w:marBottom w:val="0"/>
      <w:divBdr>
        <w:top w:val="none" w:sz="0" w:space="0" w:color="auto"/>
        <w:left w:val="none" w:sz="0" w:space="0" w:color="auto"/>
        <w:bottom w:val="none" w:sz="0" w:space="0" w:color="auto"/>
        <w:right w:val="none" w:sz="0" w:space="0" w:color="auto"/>
      </w:divBdr>
      <w:divsChild>
        <w:div w:id="766534453">
          <w:marLeft w:val="0"/>
          <w:marRight w:val="0"/>
          <w:marTop w:val="0"/>
          <w:marBottom w:val="0"/>
          <w:divBdr>
            <w:top w:val="none" w:sz="0" w:space="0" w:color="auto"/>
            <w:left w:val="none" w:sz="0" w:space="0" w:color="auto"/>
            <w:bottom w:val="none" w:sz="0" w:space="0" w:color="auto"/>
            <w:right w:val="none" w:sz="0" w:space="0" w:color="auto"/>
          </w:divBdr>
        </w:div>
      </w:divsChild>
    </w:div>
    <w:div w:id="67462255">
      <w:bodyDiv w:val="1"/>
      <w:marLeft w:val="0"/>
      <w:marRight w:val="0"/>
      <w:marTop w:val="0"/>
      <w:marBottom w:val="0"/>
      <w:divBdr>
        <w:top w:val="none" w:sz="0" w:space="0" w:color="auto"/>
        <w:left w:val="none" w:sz="0" w:space="0" w:color="auto"/>
        <w:bottom w:val="none" w:sz="0" w:space="0" w:color="auto"/>
        <w:right w:val="none" w:sz="0" w:space="0" w:color="auto"/>
      </w:divBdr>
      <w:divsChild>
        <w:div w:id="1778601755">
          <w:marLeft w:val="0"/>
          <w:marRight w:val="0"/>
          <w:marTop w:val="240"/>
          <w:marBottom w:val="240"/>
          <w:divBdr>
            <w:top w:val="none" w:sz="0" w:space="0" w:color="auto"/>
            <w:left w:val="none" w:sz="0" w:space="0" w:color="auto"/>
            <w:bottom w:val="none" w:sz="0" w:space="0" w:color="auto"/>
            <w:right w:val="none" w:sz="0" w:space="0" w:color="auto"/>
          </w:divBdr>
        </w:div>
        <w:div w:id="1863350501">
          <w:marLeft w:val="0"/>
          <w:marRight w:val="0"/>
          <w:marTop w:val="0"/>
          <w:marBottom w:val="0"/>
          <w:divBdr>
            <w:top w:val="none" w:sz="0" w:space="0" w:color="auto"/>
            <w:left w:val="none" w:sz="0" w:space="0" w:color="auto"/>
            <w:bottom w:val="none" w:sz="0" w:space="0" w:color="auto"/>
            <w:right w:val="none" w:sz="0" w:space="0" w:color="auto"/>
          </w:divBdr>
        </w:div>
      </w:divsChild>
    </w:div>
    <w:div w:id="115683745">
      <w:bodyDiv w:val="1"/>
      <w:marLeft w:val="0"/>
      <w:marRight w:val="0"/>
      <w:marTop w:val="0"/>
      <w:marBottom w:val="0"/>
      <w:divBdr>
        <w:top w:val="none" w:sz="0" w:space="0" w:color="auto"/>
        <w:left w:val="none" w:sz="0" w:space="0" w:color="auto"/>
        <w:bottom w:val="none" w:sz="0" w:space="0" w:color="auto"/>
        <w:right w:val="none" w:sz="0" w:space="0" w:color="auto"/>
      </w:divBdr>
    </w:div>
    <w:div w:id="255746314">
      <w:bodyDiv w:val="1"/>
      <w:marLeft w:val="0"/>
      <w:marRight w:val="0"/>
      <w:marTop w:val="0"/>
      <w:marBottom w:val="0"/>
      <w:divBdr>
        <w:top w:val="none" w:sz="0" w:space="0" w:color="auto"/>
        <w:left w:val="none" w:sz="0" w:space="0" w:color="auto"/>
        <w:bottom w:val="none" w:sz="0" w:space="0" w:color="auto"/>
        <w:right w:val="none" w:sz="0" w:space="0" w:color="auto"/>
      </w:divBdr>
    </w:div>
    <w:div w:id="257718137">
      <w:bodyDiv w:val="1"/>
      <w:marLeft w:val="0"/>
      <w:marRight w:val="0"/>
      <w:marTop w:val="0"/>
      <w:marBottom w:val="0"/>
      <w:divBdr>
        <w:top w:val="none" w:sz="0" w:space="0" w:color="auto"/>
        <w:left w:val="none" w:sz="0" w:space="0" w:color="auto"/>
        <w:bottom w:val="none" w:sz="0" w:space="0" w:color="auto"/>
        <w:right w:val="none" w:sz="0" w:space="0" w:color="auto"/>
      </w:divBdr>
    </w:div>
    <w:div w:id="301155313">
      <w:bodyDiv w:val="1"/>
      <w:marLeft w:val="0"/>
      <w:marRight w:val="0"/>
      <w:marTop w:val="0"/>
      <w:marBottom w:val="0"/>
      <w:divBdr>
        <w:top w:val="none" w:sz="0" w:space="0" w:color="auto"/>
        <w:left w:val="none" w:sz="0" w:space="0" w:color="auto"/>
        <w:bottom w:val="none" w:sz="0" w:space="0" w:color="auto"/>
        <w:right w:val="none" w:sz="0" w:space="0" w:color="auto"/>
      </w:divBdr>
    </w:div>
    <w:div w:id="303387432">
      <w:bodyDiv w:val="1"/>
      <w:marLeft w:val="0"/>
      <w:marRight w:val="0"/>
      <w:marTop w:val="0"/>
      <w:marBottom w:val="0"/>
      <w:divBdr>
        <w:top w:val="none" w:sz="0" w:space="0" w:color="auto"/>
        <w:left w:val="none" w:sz="0" w:space="0" w:color="auto"/>
        <w:bottom w:val="none" w:sz="0" w:space="0" w:color="auto"/>
        <w:right w:val="none" w:sz="0" w:space="0" w:color="auto"/>
      </w:divBdr>
    </w:div>
    <w:div w:id="335229049">
      <w:bodyDiv w:val="1"/>
      <w:marLeft w:val="0"/>
      <w:marRight w:val="0"/>
      <w:marTop w:val="0"/>
      <w:marBottom w:val="0"/>
      <w:divBdr>
        <w:top w:val="none" w:sz="0" w:space="0" w:color="auto"/>
        <w:left w:val="none" w:sz="0" w:space="0" w:color="auto"/>
        <w:bottom w:val="none" w:sz="0" w:space="0" w:color="auto"/>
        <w:right w:val="none" w:sz="0" w:space="0" w:color="auto"/>
      </w:divBdr>
      <w:divsChild>
        <w:div w:id="102502308">
          <w:marLeft w:val="0"/>
          <w:marRight w:val="0"/>
          <w:marTop w:val="0"/>
          <w:marBottom w:val="0"/>
          <w:divBdr>
            <w:top w:val="none" w:sz="0" w:space="0" w:color="auto"/>
            <w:left w:val="none" w:sz="0" w:space="0" w:color="auto"/>
            <w:bottom w:val="none" w:sz="0" w:space="0" w:color="auto"/>
            <w:right w:val="none" w:sz="0" w:space="0" w:color="auto"/>
          </w:divBdr>
          <w:divsChild>
            <w:div w:id="442068316">
              <w:marLeft w:val="0"/>
              <w:marRight w:val="0"/>
              <w:marTop w:val="0"/>
              <w:marBottom w:val="0"/>
              <w:divBdr>
                <w:top w:val="none" w:sz="0" w:space="0" w:color="auto"/>
                <w:left w:val="none" w:sz="0" w:space="0" w:color="auto"/>
                <w:bottom w:val="none" w:sz="0" w:space="0" w:color="auto"/>
                <w:right w:val="none" w:sz="0" w:space="0" w:color="auto"/>
              </w:divBdr>
              <w:divsChild>
                <w:div w:id="5648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60809">
      <w:bodyDiv w:val="1"/>
      <w:marLeft w:val="0"/>
      <w:marRight w:val="0"/>
      <w:marTop w:val="0"/>
      <w:marBottom w:val="0"/>
      <w:divBdr>
        <w:top w:val="none" w:sz="0" w:space="0" w:color="auto"/>
        <w:left w:val="none" w:sz="0" w:space="0" w:color="auto"/>
        <w:bottom w:val="none" w:sz="0" w:space="0" w:color="auto"/>
        <w:right w:val="none" w:sz="0" w:space="0" w:color="auto"/>
      </w:divBdr>
    </w:div>
    <w:div w:id="519859773">
      <w:bodyDiv w:val="1"/>
      <w:marLeft w:val="0"/>
      <w:marRight w:val="0"/>
      <w:marTop w:val="0"/>
      <w:marBottom w:val="0"/>
      <w:divBdr>
        <w:top w:val="none" w:sz="0" w:space="0" w:color="auto"/>
        <w:left w:val="none" w:sz="0" w:space="0" w:color="auto"/>
        <w:bottom w:val="none" w:sz="0" w:space="0" w:color="auto"/>
        <w:right w:val="none" w:sz="0" w:space="0" w:color="auto"/>
      </w:divBdr>
    </w:div>
    <w:div w:id="550385086">
      <w:bodyDiv w:val="1"/>
      <w:marLeft w:val="0"/>
      <w:marRight w:val="0"/>
      <w:marTop w:val="0"/>
      <w:marBottom w:val="0"/>
      <w:divBdr>
        <w:top w:val="none" w:sz="0" w:space="0" w:color="auto"/>
        <w:left w:val="none" w:sz="0" w:space="0" w:color="auto"/>
        <w:bottom w:val="none" w:sz="0" w:space="0" w:color="auto"/>
        <w:right w:val="none" w:sz="0" w:space="0" w:color="auto"/>
      </w:divBdr>
    </w:div>
    <w:div w:id="582226474">
      <w:bodyDiv w:val="1"/>
      <w:marLeft w:val="0"/>
      <w:marRight w:val="0"/>
      <w:marTop w:val="0"/>
      <w:marBottom w:val="0"/>
      <w:divBdr>
        <w:top w:val="none" w:sz="0" w:space="0" w:color="auto"/>
        <w:left w:val="none" w:sz="0" w:space="0" w:color="auto"/>
        <w:bottom w:val="none" w:sz="0" w:space="0" w:color="auto"/>
        <w:right w:val="none" w:sz="0" w:space="0" w:color="auto"/>
      </w:divBdr>
    </w:div>
    <w:div w:id="741371274">
      <w:bodyDiv w:val="1"/>
      <w:marLeft w:val="0"/>
      <w:marRight w:val="0"/>
      <w:marTop w:val="0"/>
      <w:marBottom w:val="0"/>
      <w:divBdr>
        <w:top w:val="none" w:sz="0" w:space="0" w:color="auto"/>
        <w:left w:val="none" w:sz="0" w:space="0" w:color="auto"/>
        <w:bottom w:val="none" w:sz="0" w:space="0" w:color="auto"/>
        <w:right w:val="none" w:sz="0" w:space="0" w:color="auto"/>
      </w:divBdr>
    </w:div>
    <w:div w:id="766930064">
      <w:bodyDiv w:val="1"/>
      <w:marLeft w:val="0"/>
      <w:marRight w:val="0"/>
      <w:marTop w:val="0"/>
      <w:marBottom w:val="0"/>
      <w:divBdr>
        <w:top w:val="none" w:sz="0" w:space="0" w:color="auto"/>
        <w:left w:val="none" w:sz="0" w:space="0" w:color="auto"/>
        <w:bottom w:val="none" w:sz="0" w:space="0" w:color="auto"/>
        <w:right w:val="none" w:sz="0" w:space="0" w:color="auto"/>
      </w:divBdr>
    </w:div>
    <w:div w:id="805585176">
      <w:bodyDiv w:val="1"/>
      <w:marLeft w:val="0"/>
      <w:marRight w:val="0"/>
      <w:marTop w:val="0"/>
      <w:marBottom w:val="0"/>
      <w:divBdr>
        <w:top w:val="none" w:sz="0" w:space="0" w:color="auto"/>
        <w:left w:val="none" w:sz="0" w:space="0" w:color="auto"/>
        <w:bottom w:val="none" w:sz="0" w:space="0" w:color="auto"/>
        <w:right w:val="none" w:sz="0" w:space="0" w:color="auto"/>
      </w:divBdr>
    </w:div>
    <w:div w:id="886843538">
      <w:bodyDiv w:val="1"/>
      <w:marLeft w:val="0"/>
      <w:marRight w:val="0"/>
      <w:marTop w:val="0"/>
      <w:marBottom w:val="0"/>
      <w:divBdr>
        <w:top w:val="none" w:sz="0" w:space="0" w:color="auto"/>
        <w:left w:val="none" w:sz="0" w:space="0" w:color="auto"/>
        <w:bottom w:val="none" w:sz="0" w:space="0" w:color="auto"/>
        <w:right w:val="none" w:sz="0" w:space="0" w:color="auto"/>
      </w:divBdr>
      <w:divsChild>
        <w:div w:id="1422144347">
          <w:marLeft w:val="1080"/>
          <w:marRight w:val="0"/>
          <w:marTop w:val="100"/>
          <w:marBottom w:val="0"/>
          <w:divBdr>
            <w:top w:val="none" w:sz="0" w:space="0" w:color="auto"/>
            <w:left w:val="none" w:sz="0" w:space="0" w:color="auto"/>
            <w:bottom w:val="none" w:sz="0" w:space="0" w:color="auto"/>
            <w:right w:val="none" w:sz="0" w:space="0" w:color="auto"/>
          </w:divBdr>
        </w:div>
        <w:div w:id="1135098624">
          <w:marLeft w:val="1080"/>
          <w:marRight w:val="0"/>
          <w:marTop w:val="100"/>
          <w:marBottom w:val="0"/>
          <w:divBdr>
            <w:top w:val="none" w:sz="0" w:space="0" w:color="auto"/>
            <w:left w:val="none" w:sz="0" w:space="0" w:color="auto"/>
            <w:bottom w:val="none" w:sz="0" w:space="0" w:color="auto"/>
            <w:right w:val="none" w:sz="0" w:space="0" w:color="auto"/>
          </w:divBdr>
        </w:div>
        <w:div w:id="769085531">
          <w:marLeft w:val="1080"/>
          <w:marRight w:val="0"/>
          <w:marTop w:val="100"/>
          <w:marBottom w:val="0"/>
          <w:divBdr>
            <w:top w:val="none" w:sz="0" w:space="0" w:color="auto"/>
            <w:left w:val="none" w:sz="0" w:space="0" w:color="auto"/>
            <w:bottom w:val="none" w:sz="0" w:space="0" w:color="auto"/>
            <w:right w:val="none" w:sz="0" w:space="0" w:color="auto"/>
          </w:divBdr>
        </w:div>
        <w:div w:id="1314988468">
          <w:marLeft w:val="1080"/>
          <w:marRight w:val="0"/>
          <w:marTop w:val="100"/>
          <w:marBottom w:val="0"/>
          <w:divBdr>
            <w:top w:val="none" w:sz="0" w:space="0" w:color="auto"/>
            <w:left w:val="none" w:sz="0" w:space="0" w:color="auto"/>
            <w:bottom w:val="none" w:sz="0" w:space="0" w:color="auto"/>
            <w:right w:val="none" w:sz="0" w:space="0" w:color="auto"/>
          </w:divBdr>
        </w:div>
        <w:div w:id="1893344665">
          <w:marLeft w:val="1080"/>
          <w:marRight w:val="0"/>
          <w:marTop w:val="100"/>
          <w:marBottom w:val="0"/>
          <w:divBdr>
            <w:top w:val="none" w:sz="0" w:space="0" w:color="auto"/>
            <w:left w:val="none" w:sz="0" w:space="0" w:color="auto"/>
            <w:bottom w:val="none" w:sz="0" w:space="0" w:color="auto"/>
            <w:right w:val="none" w:sz="0" w:space="0" w:color="auto"/>
          </w:divBdr>
        </w:div>
        <w:div w:id="1283221894">
          <w:marLeft w:val="1080"/>
          <w:marRight w:val="0"/>
          <w:marTop w:val="100"/>
          <w:marBottom w:val="0"/>
          <w:divBdr>
            <w:top w:val="none" w:sz="0" w:space="0" w:color="auto"/>
            <w:left w:val="none" w:sz="0" w:space="0" w:color="auto"/>
            <w:bottom w:val="none" w:sz="0" w:space="0" w:color="auto"/>
            <w:right w:val="none" w:sz="0" w:space="0" w:color="auto"/>
          </w:divBdr>
        </w:div>
        <w:div w:id="1273591010">
          <w:marLeft w:val="1080"/>
          <w:marRight w:val="0"/>
          <w:marTop w:val="100"/>
          <w:marBottom w:val="0"/>
          <w:divBdr>
            <w:top w:val="none" w:sz="0" w:space="0" w:color="auto"/>
            <w:left w:val="none" w:sz="0" w:space="0" w:color="auto"/>
            <w:bottom w:val="none" w:sz="0" w:space="0" w:color="auto"/>
            <w:right w:val="none" w:sz="0" w:space="0" w:color="auto"/>
          </w:divBdr>
        </w:div>
      </w:divsChild>
    </w:div>
    <w:div w:id="953904689">
      <w:bodyDiv w:val="1"/>
      <w:marLeft w:val="0"/>
      <w:marRight w:val="0"/>
      <w:marTop w:val="0"/>
      <w:marBottom w:val="0"/>
      <w:divBdr>
        <w:top w:val="none" w:sz="0" w:space="0" w:color="auto"/>
        <w:left w:val="none" w:sz="0" w:space="0" w:color="auto"/>
        <w:bottom w:val="none" w:sz="0" w:space="0" w:color="auto"/>
        <w:right w:val="none" w:sz="0" w:space="0" w:color="auto"/>
      </w:divBdr>
      <w:divsChild>
        <w:div w:id="992444290">
          <w:marLeft w:val="0"/>
          <w:marRight w:val="0"/>
          <w:marTop w:val="0"/>
          <w:marBottom w:val="0"/>
          <w:divBdr>
            <w:top w:val="none" w:sz="0" w:space="0" w:color="auto"/>
            <w:left w:val="none" w:sz="0" w:space="0" w:color="auto"/>
            <w:bottom w:val="none" w:sz="0" w:space="0" w:color="auto"/>
            <w:right w:val="none" w:sz="0" w:space="0" w:color="auto"/>
          </w:divBdr>
        </w:div>
        <w:div w:id="1550604434">
          <w:marLeft w:val="0"/>
          <w:marRight w:val="0"/>
          <w:marTop w:val="0"/>
          <w:marBottom w:val="0"/>
          <w:divBdr>
            <w:top w:val="none" w:sz="0" w:space="0" w:color="auto"/>
            <w:left w:val="none" w:sz="0" w:space="0" w:color="auto"/>
            <w:bottom w:val="none" w:sz="0" w:space="0" w:color="auto"/>
            <w:right w:val="none" w:sz="0" w:space="0" w:color="auto"/>
          </w:divBdr>
        </w:div>
        <w:div w:id="1813012451">
          <w:marLeft w:val="0"/>
          <w:marRight w:val="0"/>
          <w:marTop w:val="0"/>
          <w:marBottom w:val="0"/>
          <w:divBdr>
            <w:top w:val="none" w:sz="0" w:space="0" w:color="auto"/>
            <w:left w:val="none" w:sz="0" w:space="0" w:color="auto"/>
            <w:bottom w:val="none" w:sz="0" w:space="0" w:color="auto"/>
            <w:right w:val="none" w:sz="0" w:space="0" w:color="auto"/>
          </w:divBdr>
        </w:div>
      </w:divsChild>
    </w:div>
    <w:div w:id="974218544">
      <w:bodyDiv w:val="1"/>
      <w:marLeft w:val="0"/>
      <w:marRight w:val="0"/>
      <w:marTop w:val="0"/>
      <w:marBottom w:val="0"/>
      <w:divBdr>
        <w:top w:val="none" w:sz="0" w:space="0" w:color="auto"/>
        <w:left w:val="none" w:sz="0" w:space="0" w:color="auto"/>
        <w:bottom w:val="none" w:sz="0" w:space="0" w:color="auto"/>
        <w:right w:val="none" w:sz="0" w:space="0" w:color="auto"/>
      </w:divBdr>
    </w:div>
    <w:div w:id="1063991285">
      <w:bodyDiv w:val="1"/>
      <w:marLeft w:val="0"/>
      <w:marRight w:val="0"/>
      <w:marTop w:val="0"/>
      <w:marBottom w:val="0"/>
      <w:divBdr>
        <w:top w:val="none" w:sz="0" w:space="0" w:color="auto"/>
        <w:left w:val="none" w:sz="0" w:space="0" w:color="auto"/>
        <w:bottom w:val="none" w:sz="0" w:space="0" w:color="auto"/>
        <w:right w:val="none" w:sz="0" w:space="0" w:color="auto"/>
      </w:divBdr>
      <w:divsChild>
        <w:div w:id="1770537458">
          <w:marLeft w:val="0"/>
          <w:marRight w:val="0"/>
          <w:marTop w:val="240"/>
          <w:marBottom w:val="240"/>
          <w:divBdr>
            <w:top w:val="none" w:sz="0" w:space="0" w:color="auto"/>
            <w:left w:val="none" w:sz="0" w:space="0" w:color="auto"/>
            <w:bottom w:val="none" w:sz="0" w:space="0" w:color="auto"/>
            <w:right w:val="none" w:sz="0" w:space="0" w:color="auto"/>
          </w:divBdr>
        </w:div>
        <w:div w:id="1905020221">
          <w:marLeft w:val="0"/>
          <w:marRight w:val="0"/>
          <w:marTop w:val="240"/>
          <w:marBottom w:val="240"/>
          <w:divBdr>
            <w:top w:val="none" w:sz="0" w:space="0" w:color="auto"/>
            <w:left w:val="none" w:sz="0" w:space="0" w:color="auto"/>
            <w:bottom w:val="none" w:sz="0" w:space="0" w:color="auto"/>
            <w:right w:val="none" w:sz="0" w:space="0" w:color="auto"/>
          </w:divBdr>
        </w:div>
      </w:divsChild>
    </w:div>
    <w:div w:id="1146749436">
      <w:bodyDiv w:val="1"/>
      <w:marLeft w:val="0"/>
      <w:marRight w:val="0"/>
      <w:marTop w:val="0"/>
      <w:marBottom w:val="0"/>
      <w:divBdr>
        <w:top w:val="none" w:sz="0" w:space="0" w:color="auto"/>
        <w:left w:val="none" w:sz="0" w:space="0" w:color="auto"/>
        <w:bottom w:val="none" w:sz="0" w:space="0" w:color="auto"/>
        <w:right w:val="none" w:sz="0" w:space="0" w:color="auto"/>
      </w:divBdr>
    </w:div>
    <w:div w:id="1185096162">
      <w:bodyDiv w:val="1"/>
      <w:marLeft w:val="0"/>
      <w:marRight w:val="0"/>
      <w:marTop w:val="0"/>
      <w:marBottom w:val="0"/>
      <w:divBdr>
        <w:top w:val="none" w:sz="0" w:space="0" w:color="auto"/>
        <w:left w:val="none" w:sz="0" w:space="0" w:color="auto"/>
        <w:bottom w:val="none" w:sz="0" w:space="0" w:color="auto"/>
        <w:right w:val="none" w:sz="0" w:space="0" w:color="auto"/>
      </w:divBdr>
    </w:div>
    <w:div w:id="1186212700">
      <w:bodyDiv w:val="1"/>
      <w:marLeft w:val="0"/>
      <w:marRight w:val="0"/>
      <w:marTop w:val="0"/>
      <w:marBottom w:val="0"/>
      <w:divBdr>
        <w:top w:val="none" w:sz="0" w:space="0" w:color="auto"/>
        <w:left w:val="none" w:sz="0" w:space="0" w:color="auto"/>
        <w:bottom w:val="none" w:sz="0" w:space="0" w:color="auto"/>
        <w:right w:val="none" w:sz="0" w:space="0" w:color="auto"/>
      </w:divBdr>
    </w:div>
    <w:div w:id="1283607300">
      <w:bodyDiv w:val="1"/>
      <w:marLeft w:val="0"/>
      <w:marRight w:val="0"/>
      <w:marTop w:val="0"/>
      <w:marBottom w:val="0"/>
      <w:divBdr>
        <w:top w:val="none" w:sz="0" w:space="0" w:color="auto"/>
        <w:left w:val="none" w:sz="0" w:space="0" w:color="auto"/>
        <w:bottom w:val="none" w:sz="0" w:space="0" w:color="auto"/>
        <w:right w:val="none" w:sz="0" w:space="0" w:color="auto"/>
      </w:divBdr>
      <w:divsChild>
        <w:div w:id="74979294">
          <w:marLeft w:val="0"/>
          <w:marRight w:val="0"/>
          <w:marTop w:val="0"/>
          <w:marBottom w:val="0"/>
          <w:divBdr>
            <w:top w:val="none" w:sz="0" w:space="0" w:color="auto"/>
            <w:left w:val="none" w:sz="0" w:space="0" w:color="auto"/>
            <w:bottom w:val="none" w:sz="0" w:space="0" w:color="auto"/>
            <w:right w:val="none" w:sz="0" w:space="0" w:color="auto"/>
          </w:divBdr>
        </w:div>
        <w:div w:id="1103917673">
          <w:marLeft w:val="0"/>
          <w:marRight w:val="0"/>
          <w:marTop w:val="0"/>
          <w:marBottom w:val="0"/>
          <w:divBdr>
            <w:top w:val="none" w:sz="0" w:space="0" w:color="auto"/>
            <w:left w:val="none" w:sz="0" w:space="0" w:color="auto"/>
            <w:bottom w:val="none" w:sz="0" w:space="0" w:color="auto"/>
            <w:right w:val="none" w:sz="0" w:space="0" w:color="auto"/>
          </w:divBdr>
        </w:div>
        <w:div w:id="1443528648">
          <w:marLeft w:val="0"/>
          <w:marRight w:val="0"/>
          <w:marTop w:val="0"/>
          <w:marBottom w:val="0"/>
          <w:divBdr>
            <w:top w:val="none" w:sz="0" w:space="0" w:color="auto"/>
            <w:left w:val="none" w:sz="0" w:space="0" w:color="auto"/>
            <w:bottom w:val="none" w:sz="0" w:space="0" w:color="auto"/>
            <w:right w:val="none" w:sz="0" w:space="0" w:color="auto"/>
          </w:divBdr>
        </w:div>
      </w:divsChild>
    </w:div>
    <w:div w:id="1413620852">
      <w:bodyDiv w:val="1"/>
      <w:marLeft w:val="0"/>
      <w:marRight w:val="0"/>
      <w:marTop w:val="0"/>
      <w:marBottom w:val="0"/>
      <w:divBdr>
        <w:top w:val="none" w:sz="0" w:space="0" w:color="auto"/>
        <w:left w:val="none" w:sz="0" w:space="0" w:color="auto"/>
        <w:bottom w:val="none" w:sz="0" w:space="0" w:color="auto"/>
        <w:right w:val="none" w:sz="0" w:space="0" w:color="auto"/>
      </w:divBdr>
    </w:div>
    <w:div w:id="1506362157">
      <w:bodyDiv w:val="1"/>
      <w:marLeft w:val="0"/>
      <w:marRight w:val="0"/>
      <w:marTop w:val="0"/>
      <w:marBottom w:val="0"/>
      <w:divBdr>
        <w:top w:val="none" w:sz="0" w:space="0" w:color="auto"/>
        <w:left w:val="none" w:sz="0" w:space="0" w:color="auto"/>
        <w:bottom w:val="none" w:sz="0" w:space="0" w:color="auto"/>
        <w:right w:val="none" w:sz="0" w:space="0" w:color="auto"/>
      </w:divBdr>
      <w:divsChild>
        <w:div w:id="415564588">
          <w:marLeft w:val="1080"/>
          <w:marRight w:val="0"/>
          <w:marTop w:val="100"/>
          <w:marBottom w:val="0"/>
          <w:divBdr>
            <w:top w:val="none" w:sz="0" w:space="0" w:color="auto"/>
            <w:left w:val="none" w:sz="0" w:space="0" w:color="auto"/>
            <w:bottom w:val="none" w:sz="0" w:space="0" w:color="auto"/>
            <w:right w:val="none" w:sz="0" w:space="0" w:color="auto"/>
          </w:divBdr>
        </w:div>
        <w:div w:id="383718873">
          <w:marLeft w:val="1080"/>
          <w:marRight w:val="0"/>
          <w:marTop w:val="100"/>
          <w:marBottom w:val="0"/>
          <w:divBdr>
            <w:top w:val="none" w:sz="0" w:space="0" w:color="auto"/>
            <w:left w:val="none" w:sz="0" w:space="0" w:color="auto"/>
            <w:bottom w:val="none" w:sz="0" w:space="0" w:color="auto"/>
            <w:right w:val="none" w:sz="0" w:space="0" w:color="auto"/>
          </w:divBdr>
        </w:div>
        <w:div w:id="79983048">
          <w:marLeft w:val="1080"/>
          <w:marRight w:val="0"/>
          <w:marTop w:val="100"/>
          <w:marBottom w:val="0"/>
          <w:divBdr>
            <w:top w:val="none" w:sz="0" w:space="0" w:color="auto"/>
            <w:left w:val="none" w:sz="0" w:space="0" w:color="auto"/>
            <w:bottom w:val="none" w:sz="0" w:space="0" w:color="auto"/>
            <w:right w:val="none" w:sz="0" w:space="0" w:color="auto"/>
          </w:divBdr>
        </w:div>
        <w:div w:id="1962225327">
          <w:marLeft w:val="1080"/>
          <w:marRight w:val="0"/>
          <w:marTop w:val="100"/>
          <w:marBottom w:val="0"/>
          <w:divBdr>
            <w:top w:val="none" w:sz="0" w:space="0" w:color="auto"/>
            <w:left w:val="none" w:sz="0" w:space="0" w:color="auto"/>
            <w:bottom w:val="none" w:sz="0" w:space="0" w:color="auto"/>
            <w:right w:val="none" w:sz="0" w:space="0" w:color="auto"/>
          </w:divBdr>
        </w:div>
        <w:div w:id="1703088761">
          <w:marLeft w:val="1080"/>
          <w:marRight w:val="0"/>
          <w:marTop w:val="100"/>
          <w:marBottom w:val="0"/>
          <w:divBdr>
            <w:top w:val="none" w:sz="0" w:space="0" w:color="auto"/>
            <w:left w:val="none" w:sz="0" w:space="0" w:color="auto"/>
            <w:bottom w:val="none" w:sz="0" w:space="0" w:color="auto"/>
            <w:right w:val="none" w:sz="0" w:space="0" w:color="auto"/>
          </w:divBdr>
        </w:div>
        <w:div w:id="1598975226">
          <w:marLeft w:val="1080"/>
          <w:marRight w:val="0"/>
          <w:marTop w:val="100"/>
          <w:marBottom w:val="0"/>
          <w:divBdr>
            <w:top w:val="none" w:sz="0" w:space="0" w:color="auto"/>
            <w:left w:val="none" w:sz="0" w:space="0" w:color="auto"/>
            <w:bottom w:val="none" w:sz="0" w:space="0" w:color="auto"/>
            <w:right w:val="none" w:sz="0" w:space="0" w:color="auto"/>
          </w:divBdr>
        </w:div>
        <w:div w:id="5258006">
          <w:marLeft w:val="1080"/>
          <w:marRight w:val="0"/>
          <w:marTop w:val="100"/>
          <w:marBottom w:val="0"/>
          <w:divBdr>
            <w:top w:val="none" w:sz="0" w:space="0" w:color="auto"/>
            <w:left w:val="none" w:sz="0" w:space="0" w:color="auto"/>
            <w:bottom w:val="none" w:sz="0" w:space="0" w:color="auto"/>
            <w:right w:val="none" w:sz="0" w:space="0" w:color="auto"/>
          </w:divBdr>
        </w:div>
      </w:divsChild>
    </w:div>
    <w:div w:id="1518428542">
      <w:bodyDiv w:val="1"/>
      <w:marLeft w:val="0"/>
      <w:marRight w:val="0"/>
      <w:marTop w:val="0"/>
      <w:marBottom w:val="0"/>
      <w:divBdr>
        <w:top w:val="none" w:sz="0" w:space="0" w:color="auto"/>
        <w:left w:val="none" w:sz="0" w:space="0" w:color="auto"/>
        <w:bottom w:val="none" w:sz="0" w:space="0" w:color="auto"/>
        <w:right w:val="none" w:sz="0" w:space="0" w:color="auto"/>
      </w:divBdr>
      <w:divsChild>
        <w:div w:id="482428812">
          <w:marLeft w:val="0"/>
          <w:marRight w:val="0"/>
          <w:marTop w:val="240"/>
          <w:marBottom w:val="240"/>
          <w:divBdr>
            <w:top w:val="none" w:sz="0" w:space="0" w:color="auto"/>
            <w:left w:val="none" w:sz="0" w:space="0" w:color="auto"/>
            <w:bottom w:val="none" w:sz="0" w:space="0" w:color="auto"/>
            <w:right w:val="none" w:sz="0" w:space="0" w:color="auto"/>
          </w:divBdr>
        </w:div>
      </w:divsChild>
    </w:div>
    <w:div w:id="1545286404">
      <w:bodyDiv w:val="1"/>
      <w:marLeft w:val="0"/>
      <w:marRight w:val="0"/>
      <w:marTop w:val="0"/>
      <w:marBottom w:val="0"/>
      <w:divBdr>
        <w:top w:val="none" w:sz="0" w:space="0" w:color="auto"/>
        <w:left w:val="none" w:sz="0" w:space="0" w:color="auto"/>
        <w:bottom w:val="none" w:sz="0" w:space="0" w:color="auto"/>
        <w:right w:val="none" w:sz="0" w:space="0" w:color="auto"/>
      </w:divBdr>
    </w:div>
    <w:div w:id="1562473094">
      <w:bodyDiv w:val="1"/>
      <w:marLeft w:val="0"/>
      <w:marRight w:val="0"/>
      <w:marTop w:val="0"/>
      <w:marBottom w:val="0"/>
      <w:divBdr>
        <w:top w:val="none" w:sz="0" w:space="0" w:color="auto"/>
        <w:left w:val="none" w:sz="0" w:space="0" w:color="auto"/>
        <w:bottom w:val="none" w:sz="0" w:space="0" w:color="auto"/>
        <w:right w:val="none" w:sz="0" w:space="0" w:color="auto"/>
      </w:divBdr>
    </w:div>
    <w:div w:id="1565144918">
      <w:bodyDiv w:val="1"/>
      <w:marLeft w:val="0"/>
      <w:marRight w:val="0"/>
      <w:marTop w:val="0"/>
      <w:marBottom w:val="0"/>
      <w:divBdr>
        <w:top w:val="none" w:sz="0" w:space="0" w:color="auto"/>
        <w:left w:val="none" w:sz="0" w:space="0" w:color="auto"/>
        <w:bottom w:val="none" w:sz="0" w:space="0" w:color="auto"/>
        <w:right w:val="none" w:sz="0" w:space="0" w:color="auto"/>
      </w:divBdr>
    </w:div>
    <w:div w:id="1568607722">
      <w:bodyDiv w:val="1"/>
      <w:marLeft w:val="0"/>
      <w:marRight w:val="0"/>
      <w:marTop w:val="0"/>
      <w:marBottom w:val="0"/>
      <w:divBdr>
        <w:top w:val="none" w:sz="0" w:space="0" w:color="auto"/>
        <w:left w:val="none" w:sz="0" w:space="0" w:color="auto"/>
        <w:bottom w:val="none" w:sz="0" w:space="0" w:color="auto"/>
        <w:right w:val="none" w:sz="0" w:space="0" w:color="auto"/>
      </w:divBdr>
      <w:divsChild>
        <w:div w:id="2144958018">
          <w:marLeft w:val="0"/>
          <w:marRight w:val="0"/>
          <w:marTop w:val="0"/>
          <w:marBottom w:val="0"/>
          <w:divBdr>
            <w:top w:val="none" w:sz="0" w:space="0" w:color="auto"/>
            <w:left w:val="none" w:sz="0" w:space="0" w:color="auto"/>
            <w:bottom w:val="none" w:sz="0" w:space="0" w:color="auto"/>
            <w:right w:val="none" w:sz="0" w:space="0" w:color="auto"/>
          </w:divBdr>
          <w:divsChild>
            <w:div w:id="1185898506">
              <w:marLeft w:val="0"/>
              <w:marRight w:val="0"/>
              <w:marTop w:val="0"/>
              <w:marBottom w:val="0"/>
              <w:divBdr>
                <w:top w:val="none" w:sz="0" w:space="0" w:color="auto"/>
                <w:left w:val="none" w:sz="0" w:space="0" w:color="auto"/>
                <w:bottom w:val="none" w:sz="0" w:space="0" w:color="auto"/>
                <w:right w:val="none" w:sz="0" w:space="0" w:color="auto"/>
              </w:divBdr>
            </w:div>
            <w:div w:id="361785762">
              <w:marLeft w:val="0"/>
              <w:marRight w:val="0"/>
              <w:marTop w:val="0"/>
              <w:marBottom w:val="0"/>
              <w:divBdr>
                <w:top w:val="none" w:sz="0" w:space="0" w:color="auto"/>
                <w:left w:val="none" w:sz="0" w:space="0" w:color="auto"/>
                <w:bottom w:val="none" w:sz="0" w:space="0" w:color="auto"/>
                <w:right w:val="none" w:sz="0" w:space="0" w:color="auto"/>
              </w:divBdr>
            </w:div>
            <w:div w:id="455030085">
              <w:marLeft w:val="0"/>
              <w:marRight w:val="0"/>
              <w:marTop w:val="0"/>
              <w:marBottom w:val="0"/>
              <w:divBdr>
                <w:top w:val="none" w:sz="0" w:space="0" w:color="auto"/>
                <w:left w:val="none" w:sz="0" w:space="0" w:color="auto"/>
                <w:bottom w:val="none" w:sz="0" w:space="0" w:color="auto"/>
                <w:right w:val="none" w:sz="0" w:space="0" w:color="auto"/>
              </w:divBdr>
            </w:div>
            <w:div w:id="554120473">
              <w:marLeft w:val="0"/>
              <w:marRight w:val="0"/>
              <w:marTop w:val="0"/>
              <w:marBottom w:val="0"/>
              <w:divBdr>
                <w:top w:val="none" w:sz="0" w:space="0" w:color="auto"/>
                <w:left w:val="none" w:sz="0" w:space="0" w:color="auto"/>
                <w:bottom w:val="none" w:sz="0" w:space="0" w:color="auto"/>
                <w:right w:val="none" w:sz="0" w:space="0" w:color="auto"/>
              </w:divBdr>
            </w:div>
            <w:div w:id="506479014">
              <w:marLeft w:val="0"/>
              <w:marRight w:val="0"/>
              <w:marTop w:val="0"/>
              <w:marBottom w:val="0"/>
              <w:divBdr>
                <w:top w:val="none" w:sz="0" w:space="0" w:color="auto"/>
                <w:left w:val="none" w:sz="0" w:space="0" w:color="auto"/>
                <w:bottom w:val="none" w:sz="0" w:space="0" w:color="auto"/>
                <w:right w:val="none" w:sz="0" w:space="0" w:color="auto"/>
              </w:divBdr>
            </w:div>
            <w:div w:id="458456165">
              <w:marLeft w:val="0"/>
              <w:marRight w:val="0"/>
              <w:marTop w:val="0"/>
              <w:marBottom w:val="0"/>
              <w:divBdr>
                <w:top w:val="none" w:sz="0" w:space="0" w:color="auto"/>
                <w:left w:val="none" w:sz="0" w:space="0" w:color="auto"/>
                <w:bottom w:val="none" w:sz="0" w:space="0" w:color="auto"/>
                <w:right w:val="none" w:sz="0" w:space="0" w:color="auto"/>
              </w:divBdr>
            </w:div>
            <w:div w:id="1844080433">
              <w:marLeft w:val="0"/>
              <w:marRight w:val="0"/>
              <w:marTop w:val="0"/>
              <w:marBottom w:val="0"/>
              <w:divBdr>
                <w:top w:val="none" w:sz="0" w:space="0" w:color="auto"/>
                <w:left w:val="none" w:sz="0" w:space="0" w:color="auto"/>
                <w:bottom w:val="none" w:sz="0" w:space="0" w:color="auto"/>
                <w:right w:val="none" w:sz="0" w:space="0" w:color="auto"/>
              </w:divBdr>
            </w:div>
            <w:div w:id="1413620932">
              <w:marLeft w:val="0"/>
              <w:marRight w:val="0"/>
              <w:marTop w:val="0"/>
              <w:marBottom w:val="0"/>
              <w:divBdr>
                <w:top w:val="none" w:sz="0" w:space="0" w:color="auto"/>
                <w:left w:val="none" w:sz="0" w:space="0" w:color="auto"/>
                <w:bottom w:val="none" w:sz="0" w:space="0" w:color="auto"/>
                <w:right w:val="none" w:sz="0" w:space="0" w:color="auto"/>
              </w:divBdr>
            </w:div>
          </w:divsChild>
        </w:div>
        <w:div w:id="2138058250">
          <w:marLeft w:val="0"/>
          <w:marRight w:val="0"/>
          <w:marTop w:val="0"/>
          <w:marBottom w:val="0"/>
          <w:divBdr>
            <w:top w:val="none" w:sz="0" w:space="0" w:color="auto"/>
            <w:left w:val="none" w:sz="0" w:space="0" w:color="auto"/>
            <w:bottom w:val="none" w:sz="0" w:space="0" w:color="auto"/>
            <w:right w:val="none" w:sz="0" w:space="0" w:color="auto"/>
          </w:divBdr>
        </w:div>
        <w:div w:id="1514301506">
          <w:marLeft w:val="0"/>
          <w:marRight w:val="0"/>
          <w:marTop w:val="0"/>
          <w:marBottom w:val="0"/>
          <w:divBdr>
            <w:top w:val="none" w:sz="0" w:space="0" w:color="auto"/>
            <w:left w:val="none" w:sz="0" w:space="0" w:color="auto"/>
            <w:bottom w:val="none" w:sz="0" w:space="0" w:color="auto"/>
            <w:right w:val="none" w:sz="0" w:space="0" w:color="auto"/>
          </w:divBdr>
          <w:divsChild>
            <w:div w:id="154810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24107">
      <w:bodyDiv w:val="1"/>
      <w:marLeft w:val="0"/>
      <w:marRight w:val="0"/>
      <w:marTop w:val="0"/>
      <w:marBottom w:val="0"/>
      <w:divBdr>
        <w:top w:val="none" w:sz="0" w:space="0" w:color="auto"/>
        <w:left w:val="none" w:sz="0" w:space="0" w:color="auto"/>
        <w:bottom w:val="none" w:sz="0" w:space="0" w:color="auto"/>
        <w:right w:val="none" w:sz="0" w:space="0" w:color="auto"/>
      </w:divBdr>
      <w:divsChild>
        <w:div w:id="152645384">
          <w:marLeft w:val="0"/>
          <w:marRight w:val="0"/>
          <w:marTop w:val="0"/>
          <w:marBottom w:val="0"/>
          <w:divBdr>
            <w:top w:val="none" w:sz="0" w:space="0" w:color="auto"/>
            <w:left w:val="none" w:sz="0" w:space="0" w:color="auto"/>
            <w:bottom w:val="none" w:sz="0" w:space="0" w:color="auto"/>
            <w:right w:val="none" w:sz="0" w:space="0" w:color="auto"/>
          </w:divBdr>
        </w:div>
        <w:div w:id="1393235357">
          <w:marLeft w:val="0"/>
          <w:marRight w:val="0"/>
          <w:marTop w:val="0"/>
          <w:marBottom w:val="0"/>
          <w:divBdr>
            <w:top w:val="none" w:sz="0" w:space="0" w:color="auto"/>
            <w:left w:val="none" w:sz="0" w:space="0" w:color="auto"/>
            <w:bottom w:val="none" w:sz="0" w:space="0" w:color="auto"/>
            <w:right w:val="none" w:sz="0" w:space="0" w:color="auto"/>
          </w:divBdr>
        </w:div>
        <w:div w:id="1082416199">
          <w:marLeft w:val="0"/>
          <w:marRight w:val="0"/>
          <w:marTop w:val="0"/>
          <w:marBottom w:val="0"/>
          <w:divBdr>
            <w:top w:val="none" w:sz="0" w:space="0" w:color="auto"/>
            <w:left w:val="none" w:sz="0" w:space="0" w:color="auto"/>
            <w:bottom w:val="none" w:sz="0" w:space="0" w:color="auto"/>
            <w:right w:val="none" w:sz="0" w:space="0" w:color="auto"/>
          </w:divBdr>
        </w:div>
        <w:div w:id="632560274">
          <w:marLeft w:val="0"/>
          <w:marRight w:val="0"/>
          <w:marTop w:val="0"/>
          <w:marBottom w:val="0"/>
          <w:divBdr>
            <w:top w:val="none" w:sz="0" w:space="0" w:color="auto"/>
            <w:left w:val="none" w:sz="0" w:space="0" w:color="auto"/>
            <w:bottom w:val="none" w:sz="0" w:space="0" w:color="auto"/>
            <w:right w:val="none" w:sz="0" w:space="0" w:color="auto"/>
          </w:divBdr>
        </w:div>
        <w:div w:id="1812870404">
          <w:marLeft w:val="0"/>
          <w:marRight w:val="0"/>
          <w:marTop w:val="0"/>
          <w:marBottom w:val="0"/>
          <w:divBdr>
            <w:top w:val="none" w:sz="0" w:space="0" w:color="auto"/>
            <w:left w:val="none" w:sz="0" w:space="0" w:color="auto"/>
            <w:bottom w:val="none" w:sz="0" w:space="0" w:color="auto"/>
            <w:right w:val="none" w:sz="0" w:space="0" w:color="auto"/>
          </w:divBdr>
        </w:div>
        <w:div w:id="70080033">
          <w:marLeft w:val="0"/>
          <w:marRight w:val="0"/>
          <w:marTop w:val="0"/>
          <w:marBottom w:val="0"/>
          <w:divBdr>
            <w:top w:val="none" w:sz="0" w:space="0" w:color="auto"/>
            <w:left w:val="none" w:sz="0" w:space="0" w:color="auto"/>
            <w:bottom w:val="none" w:sz="0" w:space="0" w:color="auto"/>
            <w:right w:val="none" w:sz="0" w:space="0" w:color="auto"/>
          </w:divBdr>
        </w:div>
        <w:div w:id="1665425760">
          <w:marLeft w:val="0"/>
          <w:marRight w:val="0"/>
          <w:marTop w:val="0"/>
          <w:marBottom w:val="0"/>
          <w:divBdr>
            <w:top w:val="none" w:sz="0" w:space="0" w:color="auto"/>
            <w:left w:val="none" w:sz="0" w:space="0" w:color="auto"/>
            <w:bottom w:val="none" w:sz="0" w:space="0" w:color="auto"/>
            <w:right w:val="none" w:sz="0" w:space="0" w:color="auto"/>
          </w:divBdr>
        </w:div>
        <w:div w:id="1382556976">
          <w:marLeft w:val="0"/>
          <w:marRight w:val="0"/>
          <w:marTop w:val="0"/>
          <w:marBottom w:val="0"/>
          <w:divBdr>
            <w:top w:val="none" w:sz="0" w:space="0" w:color="auto"/>
            <w:left w:val="none" w:sz="0" w:space="0" w:color="auto"/>
            <w:bottom w:val="none" w:sz="0" w:space="0" w:color="auto"/>
            <w:right w:val="none" w:sz="0" w:space="0" w:color="auto"/>
          </w:divBdr>
        </w:div>
        <w:div w:id="709455744">
          <w:marLeft w:val="0"/>
          <w:marRight w:val="0"/>
          <w:marTop w:val="0"/>
          <w:marBottom w:val="0"/>
          <w:divBdr>
            <w:top w:val="none" w:sz="0" w:space="0" w:color="auto"/>
            <w:left w:val="none" w:sz="0" w:space="0" w:color="auto"/>
            <w:bottom w:val="none" w:sz="0" w:space="0" w:color="auto"/>
            <w:right w:val="none" w:sz="0" w:space="0" w:color="auto"/>
          </w:divBdr>
        </w:div>
        <w:div w:id="851797789">
          <w:marLeft w:val="0"/>
          <w:marRight w:val="0"/>
          <w:marTop w:val="0"/>
          <w:marBottom w:val="0"/>
          <w:divBdr>
            <w:top w:val="none" w:sz="0" w:space="0" w:color="auto"/>
            <w:left w:val="none" w:sz="0" w:space="0" w:color="auto"/>
            <w:bottom w:val="none" w:sz="0" w:space="0" w:color="auto"/>
            <w:right w:val="none" w:sz="0" w:space="0" w:color="auto"/>
          </w:divBdr>
        </w:div>
      </w:divsChild>
    </w:div>
    <w:div w:id="1736932882">
      <w:bodyDiv w:val="1"/>
      <w:marLeft w:val="0"/>
      <w:marRight w:val="0"/>
      <w:marTop w:val="0"/>
      <w:marBottom w:val="0"/>
      <w:divBdr>
        <w:top w:val="none" w:sz="0" w:space="0" w:color="auto"/>
        <w:left w:val="none" w:sz="0" w:space="0" w:color="auto"/>
        <w:bottom w:val="none" w:sz="0" w:space="0" w:color="auto"/>
        <w:right w:val="none" w:sz="0" w:space="0" w:color="auto"/>
      </w:divBdr>
    </w:div>
    <w:div w:id="1757480093">
      <w:bodyDiv w:val="1"/>
      <w:marLeft w:val="0"/>
      <w:marRight w:val="0"/>
      <w:marTop w:val="0"/>
      <w:marBottom w:val="0"/>
      <w:divBdr>
        <w:top w:val="none" w:sz="0" w:space="0" w:color="auto"/>
        <w:left w:val="none" w:sz="0" w:space="0" w:color="auto"/>
        <w:bottom w:val="none" w:sz="0" w:space="0" w:color="auto"/>
        <w:right w:val="none" w:sz="0" w:space="0" w:color="auto"/>
      </w:divBdr>
      <w:divsChild>
        <w:div w:id="868490218">
          <w:marLeft w:val="0"/>
          <w:marRight w:val="0"/>
          <w:marTop w:val="240"/>
          <w:marBottom w:val="240"/>
          <w:divBdr>
            <w:top w:val="none" w:sz="0" w:space="0" w:color="auto"/>
            <w:left w:val="none" w:sz="0" w:space="0" w:color="auto"/>
            <w:bottom w:val="none" w:sz="0" w:space="0" w:color="auto"/>
            <w:right w:val="none" w:sz="0" w:space="0" w:color="auto"/>
          </w:divBdr>
        </w:div>
      </w:divsChild>
    </w:div>
    <w:div w:id="1852404352">
      <w:bodyDiv w:val="1"/>
      <w:marLeft w:val="0"/>
      <w:marRight w:val="0"/>
      <w:marTop w:val="0"/>
      <w:marBottom w:val="0"/>
      <w:divBdr>
        <w:top w:val="none" w:sz="0" w:space="0" w:color="auto"/>
        <w:left w:val="none" w:sz="0" w:space="0" w:color="auto"/>
        <w:bottom w:val="none" w:sz="0" w:space="0" w:color="auto"/>
        <w:right w:val="none" w:sz="0" w:space="0" w:color="auto"/>
      </w:divBdr>
    </w:div>
    <w:div w:id="1895851436">
      <w:bodyDiv w:val="1"/>
      <w:marLeft w:val="0"/>
      <w:marRight w:val="0"/>
      <w:marTop w:val="0"/>
      <w:marBottom w:val="0"/>
      <w:divBdr>
        <w:top w:val="none" w:sz="0" w:space="0" w:color="auto"/>
        <w:left w:val="none" w:sz="0" w:space="0" w:color="auto"/>
        <w:bottom w:val="none" w:sz="0" w:space="0" w:color="auto"/>
        <w:right w:val="none" w:sz="0" w:space="0" w:color="auto"/>
      </w:divBdr>
    </w:div>
    <w:div w:id="1930700206">
      <w:bodyDiv w:val="1"/>
      <w:marLeft w:val="0"/>
      <w:marRight w:val="0"/>
      <w:marTop w:val="0"/>
      <w:marBottom w:val="0"/>
      <w:divBdr>
        <w:top w:val="none" w:sz="0" w:space="0" w:color="auto"/>
        <w:left w:val="none" w:sz="0" w:space="0" w:color="auto"/>
        <w:bottom w:val="none" w:sz="0" w:space="0" w:color="auto"/>
        <w:right w:val="none" w:sz="0" w:space="0" w:color="auto"/>
      </w:divBdr>
    </w:div>
    <w:div w:id="2103330343">
      <w:bodyDiv w:val="1"/>
      <w:marLeft w:val="0"/>
      <w:marRight w:val="0"/>
      <w:marTop w:val="0"/>
      <w:marBottom w:val="0"/>
      <w:divBdr>
        <w:top w:val="none" w:sz="0" w:space="0" w:color="auto"/>
        <w:left w:val="none" w:sz="0" w:space="0" w:color="auto"/>
        <w:bottom w:val="none" w:sz="0" w:space="0" w:color="auto"/>
        <w:right w:val="none" w:sz="0" w:space="0" w:color="auto"/>
      </w:divBdr>
    </w:div>
    <w:div w:id="212692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hyperlink" Target="https://knowledge.exlibrisgroup.com/Alma/Release_Notes/2026/Alma_2026_Release_Notes?mon=202605BASE"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156082"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63FF"/>
    <w:rsid w:val="00063C88"/>
    <w:rsid w:val="000710C9"/>
    <w:rsid w:val="00087906"/>
    <w:rsid w:val="000A1EFA"/>
    <w:rsid w:val="000C66EF"/>
    <w:rsid w:val="000E492C"/>
    <w:rsid w:val="00133AD3"/>
    <w:rsid w:val="0017327C"/>
    <w:rsid w:val="001D3C6A"/>
    <w:rsid w:val="001D43AB"/>
    <w:rsid w:val="001F54BD"/>
    <w:rsid w:val="00201C6F"/>
    <w:rsid w:val="0020716B"/>
    <w:rsid w:val="00253EAA"/>
    <w:rsid w:val="00285A07"/>
    <w:rsid w:val="0030047C"/>
    <w:rsid w:val="0036378E"/>
    <w:rsid w:val="003908BB"/>
    <w:rsid w:val="003942C8"/>
    <w:rsid w:val="003C51E5"/>
    <w:rsid w:val="003E48B5"/>
    <w:rsid w:val="003F14A8"/>
    <w:rsid w:val="00496622"/>
    <w:rsid w:val="004C74BE"/>
    <w:rsid w:val="0051100B"/>
    <w:rsid w:val="005E7894"/>
    <w:rsid w:val="00601372"/>
    <w:rsid w:val="00604DE1"/>
    <w:rsid w:val="0063191E"/>
    <w:rsid w:val="006378F0"/>
    <w:rsid w:val="00637C00"/>
    <w:rsid w:val="006816E7"/>
    <w:rsid w:val="006D448B"/>
    <w:rsid w:val="006E63FF"/>
    <w:rsid w:val="006E761A"/>
    <w:rsid w:val="008111DA"/>
    <w:rsid w:val="00833208"/>
    <w:rsid w:val="008C78BB"/>
    <w:rsid w:val="008F5EF0"/>
    <w:rsid w:val="00964167"/>
    <w:rsid w:val="009B626C"/>
    <w:rsid w:val="00A055C3"/>
    <w:rsid w:val="00A67A04"/>
    <w:rsid w:val="00AB00C3"/>
    <w:rsid w:val="00B20AE5"/>
    <w:rsid w:val="00B507E2"/>
    <w:rsid w:val="00B81452"/>
    <w:rsid w:val="00B955F0"/>
    <w:rsid w:val="00BB72D3"/>
    <w:rsid w:val="00BC09D9"/>
    <w:rsid w:val="00C11550"/>
    <w:rsid w:val="00C66D07"/>
    <w:rsid w:val="00C6774F"/>
    <w:rsid w:val="00CE5BED"/>
    <w:rsid w:val="00D24272"/>
    <w:rsid w:val="00DD50BF"/>
    <w:rsid w:val="00E135C2"/>
    <w:rsid w:val="00E22BFD"/>
    <w:rsid w:val="00E32E7A"/>
    <w:rsid w:val="00E46A1E"/>
    <w:rsid w:val="00EA4068"/>
    <w:rsid w:val="00EC448C"/>
    <w:rsid w:val="00ED703A"/>
    <w:rsid w:val="00F04042"/>
    <w:rsid w:val="00F85C03"/>
    <w:rsid w:val="00FF6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B78CE-5B70-42BE-BF06-95F9834D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1244</TotalTime>
  <Pages>13</Pages>
  <Words>2327</Words>
  <Characters>12799</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Note de version Alma – mai 2026</vt:lpstr>
    </vt:vector>
  </TitlesOfParts>
  <Company>Microsoft</Company>
  <LinksUpToDate>false</LinksUpToDate>
  <CharactersWithSpaces>15096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de version Alma – mai 2026</dc:title>
  <dc:subject/>
  <dc:creator>Loïc Ducasse</dc:creator>
  <cp:keywords/>
  <dc:description/>
  <cp:lastModifiedBy>Severine DABERNAT</cp:lastModifiedBy>
  <cp:revision>16</cp:revision>
  <dcterms:created xsi:type="dcterms:W3CDTF">2026-04-28T13:03:00Z</dcterms:created>
  <dcterms:modified xsi:type="dcterms:W3CDTF">2026-05-04T07:54:00Z</dcterms:modified>
</cp:coreProperties>
</file>