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7E32A" w14:textId="77777777" w:rsidR="00D50587" w:rsidRDefault="00117E9B" w:rsidP="0000222F">
      <w:pPr>
        <w:pStyle w:val="Citationintense"/>
        <w:rPr>
          <w:rStyle w:val="Emphaseple"/>
          <w:b/>
          <w:sz w:val="56"/>
        </w:rPr>
      </w:pPr>
      <w:bookmarkStart w:id="0" w:name="_Hlk37953237"/>
      <w:r>
        <w:rPr>
          <w:rStyle w:val="Emphaseple"/>
          <w:b/>
          <w:sz w:val="56"/>
        </w:rPr>
        <w:t>Note de version Alma –</w:t>
      </w:r>
      <w:r w:rsidR="00B62FD4">
        <w:rPr>
          <w:rStyle w:val="Emphaseple"/>
          <w:b/>
          <w:sz w:val="56"/>
        </w:rPr>
        <w:t xml:space="preserve">  </w:t>
      </w:r>
    </w:p>
    <w:p w14:paraId="34D27549" w14:textId="07BA3A07" w:rsidR="009922B4" w:rsidRPr="0000222F" w:rsidRDefault="00926FBE" w:rsidP="0000222F">
      <w:pPr>
        <w:pStyle w:val="Citationintense"/>
        <w:rPr>
          <w:rStyle w:val="Emphaseple"/>
          <w:b/>
          <w:sz w:val="56"/>
        </w:rPr>
      </w:pPr>
      <w:r>
        <w:rPr>
          <w:rStyle w:val="Emphaseple"/>
          <w:b/>
          <w:sz w:val="56"/>
        </w:rPr>
        <w:t>Août</w:t>
      </w:r>
      <w:r w:rsidR="00C0733A">
        <w:rPr>
          <w:rStyle w:val="Emphaseple"/>
          <w:b/>
          <w:sz w:val="56"/>
        </w:rPr>
        <w:t xml:space="preserve"> 2020</w:t>
      </w:r>
    </w:p>
    <w:p w14:paraId="08EA3FC0" w14:textId="77777777" w:rsidR="004B003B" w:rsidRDefault="004B003B" w:rsidP="004B003B"/>
    <w:p w14:paraId="1D9C4E24" w14:textId="265D4FAB" w:rsidR="009868D5" w:rsidRPr="00270474" w:rsidRDefault="009868D5" w:rsidP="004B003B">
      <w:pPr>
        <w:rPr>
          <w:rFonts w:ascii="Helvetica" w:hAnsi="Helvetica" w:cs="Helvetica"/>
          <w:sz w:val="16"/>
          <w:szCs w:val="16"/>
        </w:rPr>
      </w:pPr>
      <w:r w:rsidRPr="00270474">
        <w:rPr>
          <w:rFonts w:ascii="Helvetica" w:hAnsi="Helvetica" w:cs="Helvetica"/>
          <w:sz w:val="16"/>
          <w:szCs w:val="16"/>
        </w:rPr>
        <w:t xml:space="preserve">Source : </w:t>
      </w:r>
      <w:hyperlink r:id="rId8" w:history="1">
        <w:r w:rsidR="004764E5" w:rsidRPr="00E8598C">
          <w:rPr>
            <w:rStyle w:val="Lienhypertexte"/>
            <w:rFonts w:ascii="Helvetica" w:hAnsi="Helvetica"/>
            <w:sz w:val="16"/>
            <w:szCs w:val="16"/>
          </w:rPr>
          <w:t>https://knowledge.exlibrisgroup.com/Alma/Release_Notes/2020/Alma_2020_Release_Notes?mon=202008BASE</w:t>
        </w:r>
      </w:hyperlink>
      <w:r w:rsidR="00270474" w:rsidRPr="00270474">
        <w:rPr>
          <w:rFonts w:ascii="Helvetica" w:hAnsi="Helvetica"/>
          <w:sz w:val="16"/>
          <w:szCs w:val="16"/>
        </w:rPr>
        <w:t xml:space="preserve"> </w:t>
      </w:r>
      <w:r w:rsidRPr="00270474">
        <w:rPr>
          <w:rFonts w:ascii="Helvetica" w:hAnsi="Helvetica" w:cs="Helvetica"/>
          <w:sz w:val="16"/>
          <w:szCs w:val="16"/>
        </w:rPr>
        <w:t xml:space="preserve"> </w:t>
      </w:r>
    </w:p>
    <w:p w14:paraId="106E870F" w14:textId="77777777" w:rsidR="009868D5" w:rsidRDefault="009868D5" w:rsidP="004B003B"/>
    <w:p w14:paraId="7B4004F7" w14:textId="77777777" w:rsidR="00EB73E4" w:rsidRDefault="00EB73E4" w:rsidP="004B003B"/>
    <w:p w14:paraId="620B729C" w14:textId="77777777" w:rsidR="00EB73E4" w:rsidRPr="006C3D7A" w:rsidRDefault="00EB73E4" w:rsidP="00EB73E4">
      <w:pPr>
        <w:pStyle w:val="Titre1"/>
        <w:rPr>
          <w:rFonts w:asciiTheme="minorHAnsi" w:hAnsiTheme="minorHAnsi"/>
          <w:color w:val="auto"/>
          <w:sz w:val="40"/>
        </w:rPr>
      </w:pPr>
      <w:bookmarkStart w:id="1" w:name="OLE_LINK1"/>
      <w:bookmarkStart w:id="2" w:name="OLE_LINK2"/>
      <w:r>
        <w:rPr>
          <w:rFonts w:asciiTheme="minorHAnsi" w:hAnsiTheme="minorHAnsi"/>
          <w:color w:val="auto"/>
          <w:sz w:val="40"/>
        </w:rPr>
        <w:t>Administration générale</w:t>
      </w:r>
    </w:p>
    <w:p w14:paraId="6C38C6AD" w14:textId="77777777" w:rsidR="00D50587" w:rsidRDefault="00D50587" w:rsidP="00D45973">
      <w:pPr>
        <w:jc w:val="both"/>
        <w:rPr>
          <w:rFonts w:ascii="Helvetica" w:hAnsi="Helvetica"/>
          <w:sz w:val="20"/>
        </w:rPr>
      </w:pPr>
    </w:p>
    <w:p w14:paraId="592ACC4A" w14:textId="03015EFE" w:rsidR="00EB73E4" w:rsidRDefault="00181D92" w:rsidP="00EB73E4">
      <w:pPr>
        <w:pStyle w:val="Titre2"/>
        <w:jc w:val="both"/>
        <w:rPr>
          <w:rFonts w:asciiTheme="minorHAnsi" w:hAnsiTheme="minorHAnsi"/>
          <w:color w:val="auto"/>
          <w:sz w:val="32"/>
        </w:rPr>
      </w:pPr>
      <w:r>
        <w:rPr>
          <w:rFonts w:asciiTheme="minorHAnsi" w:hAnsiTheme="minorHAnsi"/>
          <w:color w:val="auto"/>
          <w:sz w:val="32"/>
        </w:rPr>
        <w:t>Evolution de l’interface</w:t>
      </w:r>
    </w:p>
    <w:p w14:paraId="6CCCB704" w14:textId="22227951" w:rsidR="006C519D" w:rsidRDefault="00181D92" w:rsidP="00181D92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L</w:t>
      </w:r>
      <w:r w:rsidR="006C519D">
        <w:rPr>
          <w:rFonts w:ascii="Helvetica" w:hAnsi="Helvetica"/>
          <w:sz w:val="20"/>
        </w:rPr>
        <w:t xml:space="preserve">a nouvelle </w:t>
      </w:r>
      <w:r>
        <w:rPr>
          <w:rFonts w:ascii="Helvetica" w:hAnsi="Helvetica"/>
          <w:sz w:val="20"/>
        </w:rPr>
        <w:t xml:space="preserve">interface d’Alma </w:t>
      </w:r>
      <w:r w:rsidR="00882C2D">
        <w:rPr>
          <w:rFonts w:ascii="Helvetica" w:hAnsi="Helvetica"/>
          <w:sz w:val="20"/>
        </w:rPr>
        <w:t>sera déployée le 6</w:t>
      </w:r>
      <w:r w:rsidR="006C519D">
        <w:rPr>
          <w:rFonts w:ascii="Helvetica" w:hAnsi="Helvetica"/>
          <w:sz w:val="20"/>
        </w:rPr>
        <w:t xml:space="preserve"> septembre sur l’environnement de production. Il restera possible de revenir à l’ancienne interface mais uniquement pour une durée limitée (jusqu’à fin décembre) et après intervention manuelle d’un administrateur dans le dossier de chaque personne désirant rebasculer sur l’interface précédente. </w:t>
      </w:r>
    </w:p>
    <w:p w14:paraId="201CBDC9" w14:textId="63D7A8CF" w:rsidR="006C519D" w:rsidRDefault="006C519D" w:rsidP="00181D92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La version d’Alma du mois d’août introduit de nouvelles modifications, comme : </w:t>
      </w:r>
    </w:p>
    <w:p w14:paraId="6373FB0B" w14:textId="4D5F1912" w:rsidR="006C519D" w:rsidRPr="002D079A" w:rsidRDefault="006C519D" w:rsidP="006C519D">
      <w:pPr>
        <w:pStyle w:val="Paragraphedeliste"/>
        <w:numPr>
          <w:ilvl w:val="0"/>
          <w:numId w:val="17"/>
        </w:numPr>
        <w:jc w:val="both"/>
        <w:rPr>
          <w:rFonts w:ascii="Helvetica" w:hAnsi="Helvetica"/>
          <w:sz w:val="20"/>
        </w:rPr>
      </w:pPr>
      <w:proofErr w:type="gramStart"/>
      <w:r>
        <w:rPr>
          <w:rFonts w:ascii="Helvetica" w:hAnsi="Helvetica"/>
          <w:sz w:val="20"/>
        </w:rPr>
        <w:t>une</w:t>
      </w:r>
      <w:proofErr w:type="gramEnd"/>
      <w:r>
        <w:rPr>
          <w:rFonts w:ascii="Helvetica" w:hAnsi="Helvetica"/>
          <w:sz w:val="20"/>
        </w:rPr>
        <w:t xml:space="preserve"> meilleure différenciation des pages d’administration d’Alma d’avec la partie </w:t>
      </w:r>
      <w:proofErr w:type="spellStart"/>
      <w:r w:rsidRPr="006C519D">
        <w:rPr>
          <w:rFonts w:ascii="Helvetica" w:hAnsi="Helvetica"/>
          <w:i/>
          <w:sz w:val="20"/>
        </w:rPr>
        <w:t>front</w:t>
      </w:r>
      <w:r>
        <w:rPr>
          <w:rFonts w:ascii="Helvetica" w:hAnsi="Helvetica"/>
          <w:i/>
          <w:sz w:val="20"/>
        </w:rPr>
        <w:t>-</w:t>
      </w:r>
      <w:r w:rsidRPr="006C519D">
        <w:rPr>
          <w:rFonts w:ascii="Helvetica" w:hAnsi="Helvetica"/>
          <w:i/>
          <w:sz w:val="20"/>
        </w:rPr>
        <w:t>office</w:t>
      </w:r>
      <w:proofErr w:type="spellEnd"/>
    </w:p>
    <w:p w14:paraId="5451AE1D" w14:textId="6715BC66" w:rsidR="002D079A" w:rsidRPr="002D079A" w:rsidRDefault="002D079A" w:rsidP="002D079A">
      <w:pPr>
        <w:pStyle w:val="Paragraphedeliste"/>
        <w:numPr>
          <w:ilvl w:val="1"/>
          <w:numId w:val="17"/>
        </w:numPr>
        <w:jc w:val="both"/>
        <w:rPr>
          <w:rFonts w:ascii="Helvetica" w:hAnsi="Helvetica"/>
          <w:sz w:val="20"/>
        </w:rPr>
      </w:pPr>
      <w:proofErr w:type="gramStart"/>
      <w:r>
        <w:rPr>
          <w:rFonts w:ascii="Helvetica" w:hAnsi="Helvetica"/>
          <w:sz w:val="20"/>
        </w:rPr>
        <w:t>i</w:t>
      </w:r>
      <w:r w:rsidRPr="002D079A">
        <w:rPr>
          <w:rFonts w:ascii="Helvetica" w:hAnsi="Helvetica"/>
          <w:sz w:val="20"/>
        </w:rPr>
        <w:t>ci</w:t>
      </w:r>
      <w:proofErr w:type="gramEnd"/>
      <w:r w:rsidRPr="002D079A">
        <w:rPr>
          <w:rFonts w:ascii="Helvetica" w:hAnsi="Helvetica"/>
          <w:sz w:val="20"/>
        </w:rPr>
        <w:t xml:space="preserve"> le</w:t>
      </w:r>
      <w:r>
        <w:rPr>
          <w:rFonts w:ascii="Helvetica" w:hAnsi="Helvetica"/>
          <w:i/>
          <w:sz w:val="20"/>
        </w:rPr>
        <w:t xml:space="preserve"> </w:t>
      </w:r>
      <w:proofErr w:type="spellStart"/>
      <w:r>
        <w:rPr>
          <w:rFonts w:ascii="Helvetica" w:hAnsi="Helvetica"/>
          <w:i/>
          <w:sz w:val="20"/>
        </w:rPr>
        <w:t>front-office</w:t>
      </w:r>
      <w:proofErr w:type="spellEnd"/>
      <w:r>
        <w:rPr>
          <w:rFonts w:ascii="Helvetica" w:hAnsi="Helvetica"/>
          <w:i/>
          <w:sz w:val="20"/>
        </w:rPr>
        <w:t xml:space="preserve"> </w:t>
      </w:r>
      <w:r w:rsidRPr="002D079A">
        <w:rPr>
          <w:rFonts w:ascii="Helvetica" w:hAnsi="Helvetica"/>
          <w:sz w:val="20"/>
        </w:rPr>
        <w:t>d’Alma</w:t>
      </w:r>
    </w:p>
    <w:p w14:paraId="7E5C5E81" w14:textId="137BFFE4" w:rsidR="006C519D" w:rsidRDefault="002D079A" w:rsidP="006C519D">
      <w:pPr>
        <w:pStyle w:val="Paragraphedeliste"/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 wp14:anchorId="17149AB5" wp14:editId="67E37D39">
            <wp:extent cx="5760720" cy="281749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7-23_16414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C635" w14:textId="286CD459" w:rsidR="006C519D" w:rsidRDefault="006C519D" w:rsidP="006C519D">
      <w:pPr>
        <w:pStyle w:val="Paragraphedeliste"/>
        <w:jc w:val="both"/>
        <w:rPr>
          <w:rFonts w:ascii="Helvetica" w:hAnsi="Helvetica"/>
          <w:sz w:val="20"/>
        </w:rPr>
      </w:pPr>
    </w:p>
    <w:p w14:paraId="561D2164" w14:textId="46476EC2" w:rsidR="002D079A" w:rsidRDefault="002D079A" w:rsidP="002D079A">
      <w:pPr>
        <w:pStyle w:val="Paragraphedeliste"/>
        <w:numPr>
          <w:ilvl w:val="1"/>
          <w:numId w:val="17"/>
        </w:numPr>
        <w:jc w:val="both"/>
        <w:rPr>
          <w:rFonts w:ascii="Helvetica" w:hAnsi="Helvetica"/>
          <w:sz w:val="20"/>
        </w:rPr>
      </w:pPr>
      <w:proofErr w:type="gramStart"/>
      <w:r>
        <w:rPr>
          <w:rFonts w:ascii="Helvetica" w:hAnsi="Helvetica"/>
          <w:sz w:val="20"/>
        </w:rPr>
        <w:t>là</w:t>
      </w:r>
      <w:proofErr w:type="gramEnd"/>
      <w:r>
        <w:rPr>
          <w:rFonts w:ascii="Helvetica" w:hAnsi="Helvetica"/>
          <w:sz w:val="20"/>
        </w:rPr>
        <w:t>, l’administration</w:t>
      </w:r>
    </w:p>
    <w:p w14:paraId="52B1B534" w14:textId="04BAF700" w:rsidR="002D079A" w:rsidRPr="002D079A" w:rsidRDefault="002D079A" w:rsidP="002D079A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 wp14:anchorId="13A27393" wp14:editId="272F87E2">
            <wp:extent cx="5760720" cy="28174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7-23_16415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F30D" w14:textId="477E5F5C" w:rsidR="006C519D" w:rsidRDefault="006C519D" w:rsidP="006C519D">
      <w:pPr>
        <w:pStyle w:val="Paragraphedeliste"/>
        <w:numPr>
          <w:ilvl w:val="0"/>
          <w:numId w:val="17"/>
        </w:numPr>
        <w:jc w:val="both"/>
        <w:rPr>
          <w:rFonts w:ascii="Helvetica" w:hAnsi="Helvetica"/>
          <w:sz w:val="20"/>
        </w:rPr>
      </w:pPr>
      <w:proofErr w:type="gramStart"/>
      <w:r>
        <w:rPr>
          <w:rFonts w:ascii="Helvetica" w:hAnsi="Helvetica"/>
          <w:sz w:val="20"/>
        </w:rPr>
        <w:t>la</w:t>
      </w:r>
      <w:proofErr w:type="gramEnd"/>
      <w:r>
        <w:rPr>
          <w:rFonts w:ascii="Helvetica" w:hAnsi="Helvetica"/>
          <w:sz w:val="20"/>
        </w:rPr>
        <w:t xml:space="preserve"> </w:t>
      </w:r>
      <w:proofErr w:type="spellStart"/>
      <w:r>
        <w:rPr>
          <w:rFonts w:ascii="Helvetica" w:hAnsi="Helvetica"/>
          <w:sz w:val="20"/>
        </w:rPr>
        <w:t>redisposition</w:t>
      </w:r>
      <w:proofErr w:type="spellEnd"/>
      <w:r>
        <w:rPr>
          <w:rFonts w:ascii="Helvetica" w:hAnsi="Helvetica"/>
          <w:sz w:val="20"/>
        </w:rPr>
        <w:t xml:space="preserve"> sur la droite l’écran des en-têtes de tous les différents types de données stockés dans Alma (notices bibliographiques et de </w:t>
      </w:r>
      <w:r w:rsidRPr="006C519D">
        <w:rPr>
          <w:rFonts w:ascii="Helvetica" w:hAnsi="Helvetica"/>
          <w:i/>
          <w:sz w:val="20"/>
        </w:rPr>
        <w:t>holding</w:t>
      </w:r>
      <w:r>
        <w:rPr>
          <w:rFonts w:ascii="Helvetica" w:hAnsi="Helvetica"/>
          <w:sz w:val="20"/>
        </w:rPr>
        <w:t>, exemplaires, usagers, lignes de commande, collections électroniques, etc.)</w:t>
      </w:r>
    </w:p>
    <w:p w14:paraId="480140B2" w14:textId="38259981" w:rsidR="002D079A" w:rsidRDefault="002D079A" w:rsidP="002D079A">
      <w:pPr>
        <w:pStyle w:val="Paragraphedeliste"/>
        <w:numPr>
          <w:ilvl w:val="1"/>
          <w:numId w:val="17"/>
        </w:numPr>
        <w:jc w:val="both"/>
        <w:rPr>
          <w:rFonts w:ascii="Helvetica" w:hAnsi="Helvetica"/>
          <w:sz w:val="20"/>
        </w:rPr>
      </w:pPr>
      <w:proofErr w:type="gramStart"/>
      <w:r>
        <w:rPr>
          <w:rFonts w:ascii="Helvetica" w:hAnsi="Helvetica"/>
          <w:sz w:val="20"/>
        </w:rPr>
        <w:t>ici</w:t>
      </w:r>
      <w:proofErr w:type="gramEnd"/>
      <w:r>
        <w:rPr>
          <w:rFonts w:ascii="Helvetica" w:hAnsi="Helvetica"/>
          <w:sz w:val="20"/>
        </w:rPr>
        <w:t xml:space="preserve"> la fenêtre de prêt avec l’en-tête déplié</w:t>
      </w:r>
    </w:p>
    <w:p w14:paraId="542D98F4" w14:textId="058024BC" w:rsidR="002D079A" w:rsidRDefault="002D079A" w:rsidP="002D079A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drawing>
          <wp:inline distT="0" distB="0" distL="0" distR="0" wp14:anchorId="200DF93F" wp14:editId="7BD4652F">
            <wp:extent cx="5760720" cy="28174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7-23_16394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5F01" w14:textId="7E309123" w:rsidR="002D079A" w:rsidRPr="002D079A" w:rsidRDefault="002D079A" w:rsidP="002D079A">
      <w:pPr>
        <w:pStyle w:val="Paragraphedeliste"/>
        <w:numPr>
          <w:ilvl w:val="0"/>
          <w:numId w:val="18"/>
        </w:numPr>
        <w:jc w:val="both"/>
        <w:rPr>
          <w:rFonts w:ascii="Helvetica" w:hAnsi="Helvetica"/>
          <w:sz w:val="20"/>
        </w:rPr>
      </w:pPr>
      <w:proofErr w:type="gramStart"/>
      <w:r>
        <w:rPr>
          <w:rFonts w:ascii="Helvetica" w:hAnsi="Helvetica"/>
          <w:sz w:val="20"/>
        </w:rPr>
        <w:t>là</w:t>
      </w:r>
      <w:proofErr w:type="gramEnd"/>
      <w:r>
        <w:rPr>
          <w:rFonts w:ascii="Helvetica" w:hAnsi="Helvetica"/>
          <w:sz w:val="20"/>
        </w:rPr>
        <w:t xml:space="preserve"> cette même fenêtre avec l’en-tête replié, à l’aide des doubles chevrons situés sous le logo d’Ex </w:t>
      </w:r>
      <w:proofErr w:type="spellStart"/>
      <w:r>
        <w:rPr>
          <w:rFonts w:ascii="Helvetica" w:hAnsi="Helvetica"/>
          <w:sz w:val="20"/>
        </w:rPr>
        <w:t>Libris</w:t>
      </w:r>
      <w:proofErr w:type="spellEnd"/>
    </w:p>
    <w:p w14:paraId="0FC76F1F" w14:textId="1E7B5376" w:rsidR="006C519D" w:rsidRDefault="002D079A" w:rsidP="002D079A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 wp14:anchorId="7C3D9ED8" wp14:editId="4B09358A">
            <wp:extent cx="5760720" cy="281749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7-23_16412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00D8" w14:textId="77777777" w:rsidR="002D079A" w:rsidRPr="002D079A" w:rsidRDefault="002D079A" w:rsidP="002D079A">
      <w:pPr>
        <w:jc w:val="both"/>
        <w:rPr>
          <w:rFonts w:ascii="Helvetica" w:hAnsi="Helvetica"/>
          <w:sz w:val="20"/>
        </w:rPr>
      </w:pPr>
    </w:p>
    <w:p w14:paraId="6ADF94FD" w14:textId="6858F190" w:rsidR="006C519D" w:rsidRPr="006C519D" w:rsidRDefault="00882C2D" w:rsidP="006C519D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Le SICD mettra à disposition du réseau fin août ou début septembre une vidéo de présentation de cette nouvelle interface. En attendant, il reste possible de se familiariser avec en allant sur le bac-à-sable Alma. Elle y est activée par défaut pour tous les utilisateurs. </w:t>
      </w:r>
    </w:p>
    <w:p w14:paraId="5A8736E2" w14:textId="77777777" w:rsidR="002118A1" w:rsidRDefault="002118A1" w:rsidP="002118A1"/>
    <w:p w14:paraId="2B6E1F9C" w14:textId="77777777" w:rsidR="002118A1" w:rsidRDefault="002118A1" w:rsidP="002118A1"/>
    <w:p w14:paraId="129B266A" w14:textId="5D729B19" w:rsidR="002118A1" w:rsidRDefault="00554259" w:rsidP="002118A1">
      <w:pPr>
        <w:pStyle w:val="Titre2"/>
        <w:jc w:val="both"/>
        <w:rPr>
          <w:rFonts w:asciiTheme="minorHAnsi" w:hAnsiTheme="minorHAnsi"/>
          <w:color w:val="auto"/>
          <w:sz w:val="32"/>
        </w:rPr>
      </w:pPr>
      <w:r>
        <w:rPr>
          <w:rFonts w:asciiTheme="minorHAnsi" w:hAnsiTheme="minorHAnsi"/>
          <w:color w:val="auto"/>
          <w:sz w:val="32"/>
        </w:rPr>
        <w:t>Gestion des rôles</w:t>
      </w:r>
    </w:p>
    <w:p w14:paraId="47873B59" w14:textId="22867A52" w:rsidR="006C519D" w:rsidRDefault="00554259" w:rsidP="002118A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Un nouveau privilège a été ajouté. Il autorise le renouvellement des prêts à l’unité ou par lot depuis la fenêtre de services aux usagers. Ce privilège est associé par défaut à tous les rôles qui sont liés au bureau de prêt, mais peut être dissocié de l’un d’eux sur demande auprès d’Ex </w:t>
      </w:r>
      <w:proofErr w:type="spellStart"/>
      <w:r>
        <w:rPr>
          <w:rFonts w:ascii="Helvetica" w:hAnsi="Helvetica"/>
          <w:sz w:val="20"/>
        </w:rPr>
        <w:t>Libris</w:t>
      </w:r>
      <w:proofErr w:type="spellEnd"/>
      <w:r>
        <w:rPr>
          <w:rFonts w:ascii="Helvetica" w:hAnsi="Helvetica"/>
          <w:sz w:val="20"/>
        </w:rPr>
        <w:t xml:space="preserve">. </w:t>
      </w:r>
    </w:p>
    <w:p w14:paraId="1C0F611A" w14:textId="48EAD67F" w:rsidR="00554259" w:rsidRDefault="00554259" w:rsidP="002118A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Pour rappel, l’ajout ou le retranchement d’un privilège est une opération effectuée pour l’institution entière. </w:t>
      </w:r>
    </w:p>
    <w:bookmarkEnd w:id="1"/>
    <w:bookmarkEnd w:id="2"/>
    <w:p w14:paraId="3775CCEB" w14:textId="77777777" w:rsidR="003B040C" w:rsidRDefault="003B040C">
      <w:pPr>
        <w:rPr>
          <w:rFonts w:eastAsiaTheme="majorEastAsia" w:cstheme="majorBidi"/>
          <w:sz w:val="40"/>
          <w:szCs w:val="40"/>
        </w:rPr>
      </w:pPr>
      <w:r>
        <w:rPr>
          <w:sz w:val="40"/>
          <w:szCs w:val="40"/>
        </w:rPr>
        <w:br w:type="page"/>
      </w:r>
    </w:p>
    <w:p w14:paraId="450AF00E" w14:textId="77777777" w:rsidR="00CB1A01" w:rsidRPr="006C3D7A" w:rsidRDefault="00CB1A01" w:rsidP="00CB1A01">
      <w:pPr>
        <w:pStyle w:val="Titre1"/>
        <w:jc w:val="both"/>
        <w:rPr>
          <w:rFonts w:asciiTheme="minorHAnsi" w:hAnsiTheme="minorHAnsi"/>
          <w:color w:val="auto"/>
          <w:sz w:val="40"/>
        </w:rPr>
      </w:pPr>
      <w:r>
        <w:rPr>
          <w:rFonts w:asciiTheme="minorHAnsi" w:hAnsiTheme="minorHAnsi"/>
          <w:color w:val="auto"/>
          <w:sz w:val="40"/>
        </w:rPr>
        <w:lastRenderedPageBreak/>
        <w:t>Acquisitions</w:t>
      </w:r>
    </w:p>
    <w:p w14:paraId="4FA81DD4" w14:textId="77777777" w:rsidR="00CB1A01" w:rsidRDefault="00CB1A01" w:rsidP="00CB1A01">
      <w:pPr>
        <w:jc w:val="both"/>
        <w:rPr>
          <w:rFonts w:ascii="Helvetica" w:hAnsi="Helvetica"/>
          <w:sz w:val="20"/>
        </w:rPr>
      </w:pPr>
    </w:p>
    <w:p w14:paraId="7F8D388F" w14:textId="77777777" w:rsidR="00CB1A01" w:rsidRDefault="00CB1A01" w:rsidP="00CB1A01">
      <w:pPr>
        <w:pStyle w:val="Titre2"/>
        <w:jc w:val="both"/>
        <w:rPr>
          <w:rFonts w:asciiTheme="minorHAnsi" w:hAnsiTheme="minorHAnsi"/>
          <w:color w:val="auto"/>
          <w:sz w:val="32"/>
        </w:rPr>
      </w:pPr>
      <w:r>
        <w:rPr>
          <w:rFonts w:asciiTheme="minorHAnsi" w:hAnsiTheme="minorHAnsi"/>
          <w:color w:val="auto"/>
          <w:sz w:val="32"/>
        </w:rPr>
        <w:t>Possibilité d’édition du</w:t>
      </w:r>
      <w:bookmarkStart w:id="3" w:name="_GoBack"/>
      <w:bookmarkEnd w:id="3"/>
      <w:r>
        <w:rPr>
          <w:rFonts w:asciiTheme="minorHAnsi" w:hAnsiTheme="minorHAnsi"/>
          <w:color w:val="auto"/>
          <w:sz w:val="32"/>
        </w:rPr>
        <w:t xml:space="preserve"> formulaire de ligne de bon de commande depuis le mode consultation.</w:t>
      </w:r>
    </w:p>
    <w:p w14:paraId="67BFD164" w14:textId="77777777" w:rsidR="00CB1A01" w:rsidRDefault="00CB1A01" w:rsidP="00CB1A01">
      <w:pPr>
        <w:jc w:val="both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Lors de la visualisation d’une ligne de bon de commande en lecture seule, il est désormais possible d’accéder à un bouton « modifier » depuis la même page.</w:t>
      </w:r>
    </w:p>
    <w:p w14:paraId="44D0C484" w14:textId="77777777" w:rsidR="00CB1A01" w:rsidRDefault="00CB1A01" w:rsidP="00CB1A01">
      <w:pPr>
        <w:jc w:val="both"/>
        <w:rPr>
          <w:rFonts w:ascii="Helvetica" w:hAnsi="Helvetica"/>
          <w:sz w:val="20"/>
        </w:rPr>
      </w:pPr>
      <w:r w:rsidRPr="00D94606">
        <w:rPr>
          <w:rFonts w:ascii="Helvetica" w:hAnsi="Helvetica"/>
          <w:noProof/>
          <w:sz w:val="20"/>
          <w:lang w:eastAsia="fr-FR"/>
        </w:rPr>
        <w:drawing>
          <wp:inline distT="0" distB="0" distL="0" distR="0" wp14:anchorId="416AC147" wp14:editId="378590E4">
            <wp:extent cx="5760720" cy="7702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D7F8" w14:textId="77777777" w:rsidR="00CB1A01" w:rsidRDefault="00CB1A01" w:rsidP="00CB1A01">
      <w:pPr>
        <w:jc w:val="both"/>
      </w:pPr>
    </w:p>
    <w:p w14:paraId="32DCFAAB" w14:textId="77777777" w:rsidR="00CB1A01" w:rsidRDefault="00CB1A01" w:rsidP="00CB1A01">
      <w:pPr>
        <w:jc w:val="both"/>
      </w:pPr>
      <w:r w:rsidRPr="00D94606">
        <w:rPr>
          <w:noProof/>
          <w:lang w:eastAsia="fr-FR"/>
        </w:rPr>
        <w:drawing>
          <wp:inline distT="0" distB="0" distL="0" distR="0" wp14:anchorId="1A145B57" wp14:editId="1A00CA49">
            <wp:extent cx="5760720" cy="84391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4717" w14:textId="77777777" w:rsidR="00CB1A01" w:rsidRDefault="00CB1A01" w:rsidP="00CB1A01">
      <w:pPr>
        <w:jc w:val="both"/>
      </w:pPr>
    </w:p>
    <w:p w14:paraId="47791672" w14:textId="77777777" w:rsidR="00CB1A01" w:rsidRPr="00BA0EC9" w:rsidRDefault="00CB1A01" w:rsidP="00CB1A01">
      <w:pPr>
        <w:jc w:val="both"/>
        <w:rPr>
          <w:rFonts w:ascii="Helvetica" w:hAnsi="Helvetica"/>
          <w:sz w:val="20"/>
        </w:rPr>
      </w:pPr>
      <w:r w:rsidRPr="00BA0EC9">
        <w:rPr>
          <w:rFonts w:ascii="Helvetica" w:hAnsi="Helvetica"/>
          <w:sz w:val="20"/>
        </w:rPr>
        <w:t>Le bouton « modifier » est accessible quand la ligne de bon de commande a l’un des statuts suivants :</w:t>
      </w:r>
    </w:p>
    <w:p w14:paraId="0B5EEC22" w14:textId="77777777" w:rsidR="00CB1A01" w:rsidRPr="00BA0EC9" w:rsidRDefault="00CB1A01" w:rsidP="00CB1A01">
      <w:pPr>
        <w:pStyle w:val="Paragraphedeliste"/>
        <w:numPr>
          <w:ilvl w:val="0"/>
          <w:numId w:val="20"/>
        </w:numPr>
        <w:jc w:val="both"/>
        <w:rPr>
          <w:rFonts w:ascii="Helvetica" w:hAnsi="Helvetica"/>
          <w:sz w:val="20"/>
        </w:rPr>
      </w:pPr>
      <w:r w:rsidRPr="00BA0EC9">
        <w:rPr>
          <w:rFonts w:ascii="Helvetica" w:hAnsi="Helvetica"/>
          <w:sz w:val="20"/>
        </w:rPr>
        <w:t>En révision</w:t>
      </w:r>
    </w:p>
    <w:p w14:paraId="53958A39" w14:textId="77777777" w:rsidR="00CB1A01" w:rsidRPr="00BA0EC9" w:rsidRDefault="00CB1A01" w:rsidP="00CB1A01">
      <w:pPr>
        <w:pStyle w:val="Paragraphedeliste"/>
        <w:numPr>
          <w:ilvl w:val="0"/>
          <w:numId w:val="20"/>
        </w:numPr>
        <w:jc w:val="both"/>
        <w:rPr>
          <w:rFonts w:ascii="Helvetica" w:hAnsi="Helvetica"/>
          <w:sz w:val="20"/>
        </w:rPr>
      </w:pPr>
      <w:r w:rsidRPr="00BA0EC9">
        <w:rPr>
          <w:rFonts w:ascii="Helvetica" w:hAnsi="Helvetica"/>
          <w:sz w:val="20"/>
        </w:rPr>
        <w:t>Reportée</w:t>
      </w:r>
    </w:p>
    <w:p w14:paraId="2AE49D8D" w14:textId="77777777" w:rsidR="00CB1A01" w:rsidRPr="00BA0EC9" w:rsidRDefault="00CB1A01" w:rsidP="00CB1A01">
      <w:pPr>
        <w:pStyle w:val="Paragraphedeliste"/>
        <w:numPr>
          <w:ilvl w:val="0"/>
          <w:numId w:val="20"/>
        </w:numPr>
        <w:jc w:val="both"/>
        <w:rPr>
          <w:rFonts w:ascii="Helvetica" w:hAnsi="Helvetica"/>
          <w:sz w:val="20"/>
        </w:rPr>
      </w:pPr>
      <w:r w:rsidRPr="00BA0EC9">
        <w:rPr>
          <w:rFonts w:ascii="Helvetica" w:hAnsi="Helvetica"/>
          <w:sz w:val="20"/>
        </w:rPr>
        <w:t>En attente de renouvellement</w:t>
      </w:r>
    </w:p>
    <w:p w14:paraId="1F7CF2D5" w14:textId="77777777" w:rsidR="00CB1A01" w:rsidRPr="00BA0EC9" w:rsidRDefault="00CB1A01" w:rsidP="00CB1A01">
      <w:pPr>
        <w:pStyle w:val="Paragraphedeliste"/>
        <w:numPr>
          <w:ilvl w:val="0"/>
          <w:numId w:val="20"/>
        </w:numPr>
        <w:jc w:val="both"/>
        <w:rPr>
          <w:rFonts w:ascii="Helvetica" w:hAnsi="Helvetica"/>
          <w:sz w:val="20"/>
        </w:rPr>
      </w:pPr>
      <w:r w:rsidRPr="00BA0EC9">
        <w:rPr>
          <w:rFonts w:ascii="Helvetica" w:hAnsi="Helvetica"/>
          <w:sz w:val="20"/>
        </w:rPr>
        <w:t>En regroupement automatique</w:t>
      </w:r>
    </w:p>
    <w:p w14:paraId="177C893B" w14:textId="77777777" w:rsidR="00CB1A01" w:rsidRPr="00BA0EC9" w:rsidRDefault="00CB1A01" w:rsidP="00CB1A01">
      <w:pPr>
        <w:pStyle w:val="Paragraphedeliste"/>
        <w:numPr>
          <w:ilvl w:val="0"/>
          <w:numId w:val="20"/>
        </w:numPr>
        <w:jc w:val="both"/>
        <w:rPr>
          <w:rFonts w:ascii="Helvetica" w:hAnsi="Helvetica"/>
          <w:sz w:val="20"/>
        </w:rPr>
      </w:pPr>
      <w:r w:rsidRPr="00BA0EC9">
        <w:rPr>
          <w:rFonts w:ascii="Helvetica" w:hAnsi="Helvetica"/>
          <w:sz w:val="20"/>
        </w:rPr>
        <w:t>Prêt</w:t>
      </w:r>
    </w:p>
    <w:p w14:paraId="1FA96A96" w14:textId="77777777" w:rsidR="00CB1A01" w:rsidRPr="00BA0EC9" w:rsidRDefault="00CB1A01" w:rsidP="00CB1A01">
      <w:pPr>
        <w:pStyle w:val="Paragraphedeliste"/>
        <w:numPr>
          <w:ilvl w:val="0"/>
          <w:numId w:val="20"/>
        </w:numPr>
        <w:jc w:val="both"/>
        <w:rPr>
          <w:rFonts w:ascii="Helvetica" w:hAnsi="Helvetica"/>
          <w:sz w:val="20"/>
        </w:rPr>
      </w:pPr>
      <w:r w:rsidRPr="00BA0EC9">
        <w:rPr>
          <w:rFonts w:ascii="Helvetica" w:hAnsi="Helvetica"/>
          <w:sz w:val="20"/>
        </w:rPr>
        <w:t>Envoyé</w:t>
      </w:r>
    </w:p>
    <w:p w14:paraId="3174B4CB" w14:textId="0A37F297" w:rsidR="00136AAE" w:rsidRDefault="00136AAE">
      <w:pPr>
        <w:rPr>
          <w:rFonts w:ascii="Helvetica" w:hAnsi="Helvetica" w:cs="Helvetica"/>
          <w:sz w:val="20"/>
        </w:rPr>
      </w:pPr>
      <w:r>
        <w:rPr>
          <w:rFonts w:ascii="Helvetica" w:hAnsi="Helvetica" w:cs="Helvetica"/>
          <w:sz w:val="20"/>
        </w:rPr>
        <w:br w:type="page"/>
      </w:r>
    </w:p>
    <w:p w14:paraId="395F936F" w14:textId="77777777" w:rsidR="00CB1A01" w:rsidRPr="00CB1A01" w:rsidRDefault="00CB1A01" w:rsidP="00CB1A01">
      <w:pPr>
        <w:jc w:val="both"/>
        <w:rPr>
          <w:sz w:val="40"/>
          <w:szCs w:val="40"/>
        </w:rPr>
      </w:pPr>
      <w:bookmarkStart w:id="4" w:name="_Hlk37951861"/>
      <w:r w:rsidRPr="00CB1A01">
        <w:rPr>
          <w:sz w:val="40"/>
          <w:szCs w:val="40"/>
        </w:rPr>
        <w:lastRenderedPageBreak/>
        <w:t>Gestion des données</w:t>
      </w:r>
    </w:p>
    <w:p w14:paraId="1C91E1A4" w14:textId="51B349B2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 xml:space="preserve">Des fonctionnalités sont ajoutées progressivement </w:t>
      </w:r>
      <w:r w:rsidRPr="00CB1A01">
        <w:rPr>
          <w:rFonts w:ascii="Helvetica" w:hAnsi="Helvetica"/>
          <w:sz w:val="20"/>
        </w:rPr>
        <w:t>au</w:t>
      </w:r>
      <w:r w:rsidRPr="00CB1A01">
        <w:rPr>
          <w:rFonts w:ascii="Helvetica" w:hAnsi="Helvetica"/>
          <w:sz w:val="20"/>
        </w:rPr>
        <w:t xml:space="preserve"> nouvel éditeur de métadonnées.</w:t>
      </w:r>
    </w:p>
    <w:p w14:paraId="238A1271" w14:textId="24EB147A" w:rsid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Pour rappel, ce</w:t>
      </w:r>
      <w:r w:rsidRPr="00CB1A01">
        <w:rPr>
          <w:rFonts w:ascii="Helvetica" w:hAnsi="Helvetica"/>
          <w:sz w:val="20"/>
        </w:rPr>
        <w:t xml:space="preserve"> nouvel éditeur de métadonnées sera proposé par défaut en janvier 2021 sur l’interface de </w:t>
      </w:r>
      <w:r w:rsidRPr="00CB1A01">
        <w:rPr>
          <w:rFonts w:ascii="Helvetica" w:hAnsi="Helvetica"/>
          <w:sz w:val="20"/>
        </w:rPr>
        <w:t>production avec</w:t>
      </w:r>
      <w:r w:rsidRPr="00CB1A01">
        <w:rPr>
          <w:rFonts w:ascii="Helvetica" w:hAnsi="Helvetica"/>
          <w:sz w:val="20"/>
        </w:rPr>
        <w:t xml:space="preserve"> possibilité de re</w:t>
      </w:r>
      <w:r w:rsidRPr="00CB1A01">
        <w:rPr>
          <w:rFonts w:ascii="Helvetica" w:hAnsi="Helvetica"/>
          <w:sz w:val="20"/>
        </w:rPr>
        <w:t xml:space="preserve">venir sur la version antérieure ; son usage deviendra </w:t>
      </w:r>
      <w:r w:rsidRPr="00CB1A01">
        <w:rPr>
          <w:rFonts w:ascii="Helvetica" w:hAnsi="Helvetica"/>
          <w:sz w:val="20"/>
        </w:rPr>
        <w:t>exclusif en mars 2021.</w:t>
      </w:r>
    </w:p>
    <w:p w14:paraId="16C4BDE5" w14:textId="77777777" w:rsidR="002118A1" w:rsidRDefault="002118A1" w:rsidP="002118A1"/>
    <w:p w14:paraId="7E7C0134" w14:textId="77777777" w:rsidR="002118A1" w:rsidRDefault="002118A1" w:rsidP="002118A1"/>
    <w:p w14:paraId="02F245EE" w14:textId="783759C6" w:rsidR="00CB1A01" w:rsidRPr="002118A1" w:rsidRDefault="00CB1A01" w:rsidP="002118A1">
      <w:pPr>
        <w:pStyle w:val="Titre2"/>
        <w:jc w:val="both"/>
        <w:rPr>
          <w:rFonts w:ascii="Calibri" w:hAnsi="Calibri" w:cs="Calibri"/>
          <w:color w:val="auto"/>
          <w:sz w:val="32"/>
        </w:rPr>
      </w:pPr>
      <w:r w:rsidRPr="002118A1">
        <w:rPr>
          <w:rFonts w:ascii="Calibri" w:hAnsi="Calibri" w:cs="Calibri"/>
          <w:color w:val="auto"/>
          <w:sz w:val="32"/>
        </w:rPr>
        <w:t>Nouvel éditeur de métadonnées : fonctionnalités ajoutées depuis la barre de menu.</w:t>
      </w:r>
    </w:p>
    <w:p w14:paraId="23717CE0" w14:textId="77777777" w:rsidR="00CB1A01" w:rsidRPr="00CB1A01" w:rsidRDefault="00CB1A01" w:rsidP="00CB1A01">
      <w:pPr>
        <w:jc w:val="both"/>
        <w:rPr>
          <w:sz w:val="32"/>
          <w:szCs w:val="32"/>
        </w:rPr>
      </w:pPr>
      <w:r w:rsidRPr="00CB1A01">
        <w:rPr>
          <w:noProof/>
          <w:sz w:val="32"/>
          <w:szCs w:val="32"/>
          <w:lang w:eastAsia="fr-FR"/>
        </w:rPr>
        <w:drawing>
          <wp:inline distT="0" distB="0" distL="0" distR="0" wp14:anchorId="40667578" wp14:editId="35B5657F">
            <wp:extent cx="6229350" cy="23689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097" cy="24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66CE" w14:textId="77777777" w:rsidR="00CB1A01" w:rsidRPr="00CB1A01" w:rsidRDefault="00CB1A01" w:rsidP="00CB1A01">
      <w:pPr>
        <w:jc w:val="both"/>
      </w:pPr>
      <w:r w:rsidRPr="00CB1A01">
        <w:t>Depuis l’onglet « actions de la notice ».</w:t>
      </w:r>
    </w:p>
    <w:p w14:paraId="7D04DDF9" w14:textId="77777777" w:rsidR="00CB1A01" w:rsidRPr="00CB1A01" w:rsidRDefault="00CB1A01" w:rsidP="00CB1A01">
      <w:pPr>
        <w:jc w:val="both"/>
      </w:pPr>
      <w:r w:rsidRPr="00CB1A01">
        <w:rPr>
          <w:noProof/>
          <w:lang w:eastAsia="fr-FR"/>
        </w:rPr>
        <w:drawing>
          <wp:inline distT="0" distB="0" distL="0" distR="0" wp14:anchorId="0B037801" wp14:editId="1F1F810D">
            <wp:extent cx="2228356" cy="373380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5102" cy="37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A44D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Depuis l’onglet « consulter les données liées ».</w:t>
      </w:r>
    </w:p>
    <w:p w14:paraId="18DFE7C8" w14:textId="77777777" w:rsidR="00CB1A01" w:rsidRPr="00CB1A01" w:rsidRDefault="00CB1A01" w:rsidP="00CB1A01">
      <w:pPr>
        <w:jc w:val="both"/>
      </w:pPr>
      <w:r w:rsidRPr="00CB1A01">
        <w:rPr>
          <w:noProof/>
          <w:lang w:eastAsia="fr-FR"/>
        </w:rPr>
        <w:lastRenderedPageBreak/>
        <w:drawing>
          <wp:inline distT="0" distB="0" distL="0" distR="0" wp14:anchorId="16A69C87" wp14:editId="10CFA17E">
            <wp:extent cx="2352675" cy="263499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9898" cy="264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E770" w14:textId="77777777" w:rsidR="002118A1" w:rsidRDefault="002118A1" w:rsidP="002118A1"/>
    <w:p w14:paraId="506E274B" w14:textId="77777777" w:rsidR="002118A1" w:rsidRDefault="002118A1" w:rsidP="002118A1"/>
    <w:p w14:paraId="60CB93E9" w14:textId="75D6E723" w:rsidR="00CB1A01" w:rsidRPr="002118A1" w:rsidRDefault="00CB1A01" w:rsidP="002118A1">
      <w:pPr>
        <w:pStyle w:val="Titre2"/>
        <w:jc w:val="both"/>
        <w:rPr>
          <w:rFonts w:asciiTheme="minorHAnsi" w:hAnsiTheme="minorHAnsi" w:cstheme="minorHAnsi"/>
          <w:color w:val="auto"/>
          <w:sz w:val="32"/>
          <w:szCs w:val="32"/>
        </w:rPr>
      </w:pPr>
      <w:r w:rsidRPr="002118A1">
        <w:rPr>
          <w:rFonts w:asciiTheme="minorHAnsi" w:hAnsiTheme="minorHAnsi" w:cstheme="minorHAnsi"/>
          <w:color w:val="auto"/>
          <w:sz w:val="32"/>
          <w:szCs w:val="32"/>
        </w:rPr>
        <w:t>Nouvel éditeur de métadonnées : nouvel onglet « ensembles » depuis la barre d’outils</w:t>
      </w:r>
    </w:p>
    <w:p w14:paraId="7CF62A95" w14:textId="77777777" w:rsidR="00CB1A01" w:rsidRPr="00CB1A01" w:rsidRDefault="00CB1A01" w:rsidP="00CB1A01">
      <w:pPr>
        <w:jc w:val="both"/>
      </w:pPr>
      <w:r w:rsidRPr="00CB1A01">
        <w:rPr>
          <w:noProof/>
          <w:lang w:eastAsia="fr-FR"/>
        </w:rPr>
        <w:drawing>
          <wp:inline distT="0" distB="0" distL="0" distR="0" wp14:anchorId="087305F7" wp14:editId="3FB88822">
            <wp:extent cx="4867954" cy="314369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2A8E" w14:textId="77777777" w:rsidR="00CB1A01" w:rsidRDefault="00CB1A01" w:rsidP="00CB1A01">
      <w:pPr>
        <w:jc w:val="both"/>
        <w:rPr>
          <w:rFonts w:ascii="Helvetica" w:hAnsi="Helvetica"/>
          <w:sz w:val="20"/>
        </w:rPr>
      </w:pPr>
    </w:p>
    <w:p w14:paraId="0ACC8746" w14:textId="11714A61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Pour que le nouvel onglet « Sets » apparaisse depuis le nouvel éditeur de métadonnées, il faut au préalable avoir créer un ensemble (de type « titres) et envoyer ce dernier en catalogage depuis la page « gérer les jeux ».</w:t>
      </w:r>
    </w:p>
    <w:p w14:paraId="636E46B1" w14:textId="77777777" w:rsidR="00CB1A01" w:rsidRPr="00CB1A01" w:rsidRDefault="00CB1A01" w:rsidP="00CB1A01">
      <w:pPr>
        <w:jc w:val="both"/>
      </w:pPr>
      <w:r w:rsidRPr="00CB1A01">
        <w:rPr>
          <w:noProof/>
          <w:lang w:eastAsia="fr-FR"/>
        </w:rPr>
        <w:drawing>
          <wp:inline distT="0" distB="0" distL="0" distR="0" wp14:anchorId="254B4B0F" wp14:editId="548B3598">
            <wp:extent cx="5678805" cy="1348966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7339" cy="13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F255" w14:textId="77777777" w:rsidR="00CB1A01" w:rsidRPr="00CB1A01" w:rsidRDefault="00CB1A01" w:rsidP="00CB1A01">
      <w:pPr>
        <w:jc w:val="both"/>
      </w:pPr>
      <w:r w:rsidRPr="00CB1A01">
        <w:rPr>
          <w:noProof/>
          <w:lang w:eastAsia="fr-FR"/>
        </w:rPr>
        <w:drawing>
          <wp:inline distT="0" distB="0" distL="0" distR="0" wp14:anchorId="7B93FC6E" wp14:editId="7747FD98">
            <wp:extent cx="5345259" cy="2009775"/>
            <wp:effectExtent l="0" t="0" r="825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0796" cy="201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6E4A" w14:textId="77777777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  <w:r w:rsidRPr="00CB1A01">
        <w:rPr>
          <w:rFonts w:ascii="Helvetica" w:hAnsi="Helvetica"/>
          <w:sz w:val="20"/>
          <w:szCs w:val="20"/>
        </w:rPr>
        <w:lastRenderedPageBreak/>
        <w:t xml:space="preserve">Quand une notice de l’ensemble est sélectionnée, elle apparaît dans la zone d’édition de l’éditeur de métadonnées. Une en-tête précise qu’elle appartient à tel ensemble (ou éventuellement à plusieurs) et le format de la notice en question. </w:t>
      </w:r>
    </w:p>
    <w:p w14:paraId="0146C455" w14:textId="77777777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  <w:r w:rsidRPr="00CB1A01">
        <w:rPr>
          <w:rFonts w:ascii="Helvetica" w:hAnsi="Helvetica"/>
          <w:noProof/>
          <w:sz w:val="20"/>
          <w:szCs w:val="20"/>
          <w:lang w:eastAsia="fr-FR"/>
        </w:rPr>
        <w:drawing>
          <wp:inline distT="0" distB="0" distL="0" distR="0" wp14:anchorId="1FD8B751" wp14:editId="57FD6515">
            <wp:extent cx="5417820" cy="211708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1845" cy="212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A736" w14:textId="77777777" w:rsidR="00CB1A01" w:rsidRDefault="00CB1A01" w:rsidP="00CB1A01">
      <w:pPr>
        <w:jc w:val="both"/>
        <w:rPr>
          <w:rFonts w:ascii="Helvetica" w:hAnsi="Helvetica"/>
          <w:sz w:val="20"/>
          <w:szCs w:val="20"/>
        </w:rPr>
      </w:pPr>
    </w:p>
    <w:p w14:paraId="12E6B43E" w14:textId="138C4696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  <w:r w:rsidRPr="00CB1A01">
        <w:rPr>
          <w:rFonts w:ascii="Helvetica" w:hAnsi="Helvetica"/>
          <w:sz w:val="20"/>
          <w:szCs w:val="20"/>
        </w:rPr>
        <w:t>Il est également possible d’affiner les notices à afficher sur le nom des ensemble ou le titre des notices grâce à barre de recherche « filtrer la liste ».</w:t>
      </w:r>
    </w:p>
    <w:p w14:paraId="379D6D51" w14:textId="77777777" w:rsidR="00CB1A01" w:rsidRPr="00CB1A01" w:rsidRDefault="00CB1A01" w:rsidP="00CB1A01">
      <w:pPr>
        <w:jc w:val="center"/>
      </w:pPr>
      <w:r w:rsidRPr="00CB1A01">
        <w:rPr>
          <w:noProof/>
          <w:lang w:eastAsia="fr-FR"/>
        </w:rPr>
        <w:drawing>
          <wp:inline distT="0" distB="0" distL="0" distR="0" wp14:anchorId="2F1BBB7C" wp14:editId="55F44A41">
            <wp:extent cx="1919644" cy="2133600"/>
            <wp:effectExtent l="0" t="0" r="444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1887" cy="214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C11B" w14:textId="77777777" w:rsidR="002118A1" w:rsidRDefault="002118A1" w:rsidP="002118A1"/>
    <w:p w14:paraId="7B254713" w14:textId="77777777" w:rsidR="002118A1" w:rsidRDefault="002118A1" w:rsidP="002118A1"/>
    <w:p w14:paraId="2D7783A6" w14:textId="2198BA06" w:rsidR="00CB1A01" w:rsidRPr="002118A1" w:rsidRDefault="00CB1A01" w:rsidP="002118A1">
      <w:pPr>
        <w:pStyle w:val="Titre2"/>
        <w:rPr>
          <w:rFonts w:ascii="Calibri" w:hAnsi="Calibri" w:cs="Calibri"/>
          <w:color w:val="auto"/>
          <w:sz w:val="32"/>
        </w:rPr>
      </w:pPr>
      <w:r w:rsidRPr="002118A1">
        <w:rPr>
          <w:rFonts w:ascii="Calibri" w:hAnsi="Calibri" w:cs="Calibri"/>
          <w:color w:val="auto"/>
          <w:sz w:val="32"/>
        </w:rPr>
        <w:t>Nouvel éditeur de métadonnées : masquer l’éditeur sans perdre les mises à jours effectuées sur les notices</w:t>
      </w:r>
    </w:p>
    <w:p w14:paraId="5D02308C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Un bouton « masquer l’éditeur de métadonnées » situés à gauche de l’écran permet de sortir rapidement de la page sans pour autant perdre les modifications apportées sur les notices.</w:t>
      </w:r>
    </w:p>
    <w:p w14:paraId="380D625F" w14:textId="77777777" w:rsidR="00CB1A01" w:rsidRPr="00CB1A01" w:rsidRDefault="00CB1A01" w:rsidP="00CB1A01">
      <w:pPr>
        <w:jc w:val="center"/>
        <w:rPr>
          <w:sz w:val="32"/>
          <w:szCs w:val="32"/>
        </w:rPr>
      </w:pPr>
      <w:r w:rsidRPr="00CB1A01">
        <w:rPr>
          <w:noProof/>
          <w:sz w:val="32"/>
          <w:szCs w:val="32"/>
          <w:lang w:eastAsia="fr-FR"/>
        </w:rPr>
        <w:lastRenderedPageBreak/>
        <w:drawing>
          <wp:inline distT="0" distB="0" distL="0" distR="0" wp14:anchorId="17D18106" wp14:editId="5B4F7BC0">
            <wp:extent cx="2400579" cy="36766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4634" cy="369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A57C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Le même bouton intitulé cette fois « afficher l’éditeur de métadonnées » permet de revenir sur l’éditeur de métadonnées, à l’endroit où l’on se trouvait au moment où on l’a quitté.</w:t>
      </w:r>
    </w:p>
    <w:p w14:paraId="7970711E" w14:textId="77777777" w:rsidR="00CB1A01" w:rsidRPr="00CB1A01" w:rsidRDefault="00CB1A01" w:rsidP="00CB1A01">
      <w:pPr>
        <w:jc w:val="center"/>
      </w:pPr>
      <w:r w:rsidRPr="00CB1A01">
        <w:rPr>
          <w:noProof/>
          <w:lang w:eastAsia="fr-FR"/>
        </w:rPr>
        <w:drawing>
          <wp:inline distT="0" distB="0" distL="0" distR="0" wp14:anchorId="134B53E9" wp14:editId="4BDEDF58">
            <wp:extent cx="2026932" cy="489014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3298" cy="50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DA05" w14:textId="77777777" w:rsidR="002118A1" w:rsidRDefault="002118A1" w:rsidP="002118A1"/>
    <w:p w14:paraId="27636997" w14:textId="77777777" w:rsidR="002118A1" w:rsidRDefault="002118A1" w:rsidP="002118A1"/>
    <w:p w14:paraId="69B07B77" w14:textId="47050A28" w:rsidR="00CB1A01" w:rsidRPr="002118A1" w:rsidRDefault="00CB1A01" w:rsidP="002118A1">
      <w:pPr>
        <w:pStyle w:val="Titre2"/>
        <w:rPr>
          <w:rFonts w:ascii="Calibri" w:hAnsi="Calibri" w:cs="Calibri"/>
          <w:color w:val="auto"/>
          <w:sz w:val="32"/>
        </w:rPr>
      </w:pPr>
      <w:r w:rsidRPr="002118A1">
        <w:rPr>
          <w:rFonts w:ascii="Calibri" w:hAnsi="Calibri" w:cs="Calibri"/>
          <w:color w:val="auto"/>
          <w:sz w:val="32"/>
        </w:rPr>
        <w:t>Nouvel éditeur de métadonnées : afficher deux enregistrement</w:t>
      </w:r>
      <w:r w:rsidR="002118A1" w:rsidRPr="002118A1">
        <w:rPr>
          <w:rFonts w:ascii="Calibri" w:hAnsi="Calibri" w:cs="Calibri"/>
          <w:color w:val="auto"/>
          <w:sz w:val="32"/>
        </w:rPr>
        <w:t>s et pavé réduit de droite</w:t>
      </w:r>
    </w:p>
    <w:p w14:paraId="327D6FE7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Pour afficher deux notices en parallèle dans l’éditeur de métadonnées, il faut scinder l’éditeur en deux depuis le bouton « mode d’éditeur divisé ».</w:t>
      </w:r>
    </w:p>
    <w:p w14:paraId="113ACB6F" w14:textId="77777777" w:rsidR="00CB1A01" w:rsidRPr="00CB1A01" w:rsidRDefault="00CB1A01" w:rsidP="00CB1A01">
      <w:pPr>
        <w:jc w:val="both"/>
      </w:pPr>
      <w:r w:rsidRPr="00CB1A01">
        <w:rPr>
          <w:noProof/>
          <w:lang w:eastAsia="fr-FR"/>
        </w:rPr>
        <w:drawing>
          <wp:inline distT="0" distB="0" distL="0" distR="0" wp14:anchorId="402B1AAB" wp14:editId="50AAFAF2">
            <wp:extent cx="3591426" cy="7144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C744" w14:textId="77777777" w:rsidR="00CB1A01" w:rsidRDefault="00CB1A01" w:rsidP="00CB1A01">
      <w:pPr>
        <w:jc w:val="both"/>
      </w:pPr>
    </w:p>
    <w:p w14:paraId="179B24FD" w14:textId="13123B5A" w:rsidR="00CB1A01" w:rsidRDefault="00CB1A01" w:rsidP="00CB1A01">
      <w:pPr>
        <w:jc w:val="both"/>
      </w:pPr>
      <w:r w:rsidRPr="00CB1A01">
        <w:t>La notice A est à gauche et la notice B est à droite de l’écran d’édition.</w:t>
      </w:r>
    </w:p>
    <w:p w14:paraId="35E6B236" w14:textId="77777777" w:rsidR="00CB1A01" w:rsidRPr="00CB1A01" w:rsidRDefault="00CB1A01" w:rsidP="00CB1A01">
      <w:pPr>
        <w:jc w:val="both"/>
      </w:pPr>
      <w:r w:rsidRPr="00CB1A01">
        <w:rPr>
          <w:noProof/>
          <w:lang w:eastAsia="fr-FR"/>
        </w:rPr>
        <w:drawing>
          <wp:inline distT="0" distB="0" distL="0" distR="0" wp14:anchorId="4A69F42C" wp14:editId="5DC92927">
            <wp:extent cx="5760720" cy="852805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D902F" w14:textId="77777777" w:rsidR="00CB1A01" w:rsidRDefault="00CB1A01" w:rsidP="00CB1A01">
      <w:pPr>
        <w:jc w:val="both"/>
      </w:pPr>
    </w:p>
    <w:p w14:paraId="6E4F9336" w14:textId="1B9C5B0C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  <w:r w:rsidRPr="00CB1A01">
        <w:rPr>
          <w:rFonts w:ascii="Helvetica" w:hAnsi="Helvetica"/>
          <w:sz w:val="20"/>
          <w:szCs w:val="20"/>
        </w:rPr>
        <w:t>Si on clique sur « consulter les données liées » pour afficher la notice de holding de la notice A. Les données relatives à celle-ci apparaissent à droite de l’écran à la place de la notice B.</w:t>
      </w:r>
      <w:r w:rsidRPr="00CB1A01">
        <w:rPr>
          <w:rFonts w:ascii="Helvetica" w:hAnsi="Helvetica"/>
          <w:noProof/>
          <w:sz w:val="20"/>
          <w:szCs w:val="20"/>
          <w:lang w:eastAsia="fr-FR"/>
        </w:rPr>
        <w:drawing>
          <wp:inline distT="0" distB="0" distL="0" distR="0" wp14:anchorId="093CAFF6" wp14:editId="78372E54">
            <wp:extent cx="5760720" cy="7054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7766" w14:textId="77777777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  <w:r w:rsidRPr="00CB1A01">
        <w:rPr>
          <w:rFonts w:ascii="Helvetica" w:hAnsi="Helvetica"/>
          <w:noProof/>
          <w:sz w:val="20"/>
          <w:szCs w:val="20"/>
          <w:lang w:eastAsia="fr-FR"/>
        </w:rPr>
        <w:drawing>
          <wp:inline distT="0" distB="0" distL="0" distR="0" wp14:anchorId="77F95508" wp14:editId="33401250">
            <wp:extent cx="5760720" cy="7258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E5FB" w14:textId="77777777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</w:p>
    <w:p w14:paraId="1B247CC4" w14:textId="5899C3DD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  <w:r w:rsidRPr="00CB1A01">
        <w:rPr>
          <w:rFonts w:ascii="Helvetica" w:hAnsi="Helvetica"/>
          <w:sz w:val="20"/>
          <w:szCs w:val="20"/>
        </w:rPr>
        <w:t>La notice B est cependant toujours accessible, elle a été réduite sur un pavé accessible à droite de l’écran.</w:t>
      </w:r>
    </w:p>
    <w:p w14:paraId="61D336A7" w14:textId="77777777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  <w:r w:rsidRPr="00CB1A01">
        <w:rPr>
          <w:rFonts w:ascii="Helvetica" w:hAnsi="Helvetica"/>
          <w:noProof/>
          <w:sz w:val="20"/>
          <w:szCs w:val="20"/>
          <w:lang w:eastAsia="fr-FR"/>
        </w:rPr>
        <w:drawing>
          <wp:inline distT="0" distB="0" distL="0" distR="0" wp14:anchorId="3C0B4B06" wp14:editId="1849F55B">
            <wp:extent cx="5760720" cy="274129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BBDB" w14:textId="77777777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</w:p>
    <w:p w14:paraId="7EE4A17F" w14:textId="59F4D3E4" w:rsidR="00CB1A01" w:rsidRPr="00CB1A01" w:rsidRDefault="00CB1A01" w:rsidP="00CB1A01">
      <w:pPr>
        <w:jc w:val="both"/>
        <w:rPr>
          <w:rFonts w:ascii="Helvetica" w:hAnsi="Helvetica"/>
          <w:sz w:val="20"/>
          <w:szCs w:val="20"/>
        </w:rPr>
      </w:pPr>
      <w:r w:rsidRPr="00CB1A01">
        <w:rPr>
          <w:rFonts w:ascii="Helvetica" w:hAnsi="Helvetica"/>
          <w:sz w:val="20"/>
          <w:szCs w:val="20"/>
        </w:rPr>
        <w:t>Il suffit de cliquer sur cette affichage réduit pour la faire apparaître de nouveau.</w:t>
      </w:r>
    </w:p>
    <w:p w14:paraId="0A71F1C4" w14:textId="77777777" w:rsidR="002118A1" w:rsidRDefault="002118A1" w:rsidP="002118A1"/>
    <w:p w14:paraId="6541DE32" w14:textId="77777777" w:rsidR="002118A1" w:rsidRDefault="002118A1" w:rsidP="002118A1"/>
    <w:p w14:paraId="401305F6" w14:textId="186B3E4D" w:rsidR="00CB1A01" w:rsidRPr="002118A1" w:rsidRDefault="00CB1A01" w:rsidP="002118A1">
      <w:pPr>
        <w:pStyle w:val="Titre2"/>
        <w:rPr>
          <w:rFonts w:ascii="Calibri" w:hAnsi="Calibri" w:cs="Calibri"/>
          <w:color w:val="auto"/>
          <w:sz w:val="32"/>
          <w:szCs w:val="32"/>
        </w:rPr>
      </w:pPr>
      <w:r w:rsidRPr="002118A1">
        <w:rPr>
          <w:rFonts w:ascii="Calibri" w:hAnsi="Calibri" w:cs="Calibri"/>
          <w:color w:val="auto"/>
          <w:sz w:val="32"/>
          <w:szCs w:val="32"/>
        </w:rPr>
        <w:t>Identifier les notices déjà existantes dans Alma à partir d’une liste d’identifiants à charger</w:t>
      </w:r>
    </w:p>
    <w:p w14:paraId="34D872B4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Il est possible à partir d’une liste d’identifiant (MMS ID, ISBN, ISSN) chargés dans Alma de savoir si la notice correspondance existe déjà dans la base ou pas.</w:t>
      </w:r>
    </w:p>
    <w:p w14:paraId="6EB5300A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Pour cela, il faut constituer un fichier (.</w:t>
      </w:r>
      <w:proofErr w:type="spellStart"/>
      <w:r w:rsidRPr="00CB1A01">
        <w:rPr>
          <w:rFonts w:ascii="Helvetica" w:hAnsi="Helvetica"/>
          <w:sz w:val="20"/>
        </w:rPr>
        <w:t>txt</w:t>
      </w:r>
      <w:proofErr w:type="spellEnd"/>
      <w:r w:rsidRPr="00CB1A01">
        <w:rPr>
          <w:rFonts w:ascii="Helvetica" w:hAnsi="Helvetica"/>
          <w:sz w:val="20"/>
        </w:rPr>
        <w:t>, .csv, .</w:t>
      </w:r>
      <w:proofErr w:type="spellStart"/>
      <w:r w:rsidRPr="00CB1A01">
        <w:rPr>
          <w:rFonts w:ascii="Helvetica" w:hAnsi="Helvetica"/>
          <w:sz w:val="20"/>
        </w:rPr>
        <w:t>xls</w:t>
      </w:r>
      <w:proofErr w:type="spellEnd"/>
      <w:r w:rsidRPr="00CB1A01">
        <w:rPr>
          <w:rFonts w:ascii="Helvetica" w:hAnsi="Helvetica"/>
          <w:sz w:val="20"/>
        </w:rPr>
        <w:t xml:space="preserve"> </w:t>
      </w:r>
      <w:proofErr w:type="gramStart"/>
      <w:r w:rsidRPr="00CB1A01">
        <w:rPr>
          <w:rFonts w:ascii="Helvetica" w:hAnsi="Helvetica"/>
          <w:sz w:val="20"/>
        </w:rPr>
        <w:t>ou</w:t>
      </w:r>
      <w:proofErr w:type="gramEnd"/>
      <w:r w:rsidRPr="00CB1A01">
        <w:rPr>
          <w:rFonts w:ascii="Helvetica" w:hAnsi="Helvetica"/>
          <w:sz w:val="20"/>
        </w:rPr>
        <w:t xml:space="preserve"> .</w:t>
      </w:r>
      <w:proofErr w:type="spellStart"/>
      <w:r w:rsidRPr="00CB1A01">
        <w:rPr>
          <w:rFonts w:ascii="Helvetica" w:hAnsi="Helvetica"/>
          <w:sz w:val="20"/>
        </w:rPr>
        <w:t>xlsx</w:t>
      </w:r>
      <w:proofErr w:type="spellEnd"/>
      <w:r w:rsidRPr="00CB1A01">
        <w:rPr>
          <w:rFonts w:ascii="Helvetica" w:hAnsi="Helvetica"/>
          <w:sz w:val="20"/>
        </w:rPr>
        <w:t>) d’identifiant fourni par un système externe pour créer un jeu de résultat.</w:t>
      </w:r>
    </w:p>
    <w:p w14:paraId="3800E8DE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</w:p>
    <w:p w14:paraId="15F26298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 wp14:anchorId="6856652B" wp14:editId="55741CE7">
            <wp:extent cx="5760720" cy="699135"/>
            <wp:effectExtent l="0" t="0" r="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716F" w14:textId="77777777" w:rsidR="00CB1A01" w:rsidRDefault="00CB1A01" w:rsidP="00CB1A01">
      <w:pPr>
        <w:jc w:val="both"/>
        <w:rPr>
          <w:rFonts w:ascii="Helvetica" w:hAnsi="Helvetica"/>
          <w:sz w:val="20"/>
        </w:rPr>
      </w:pPr>
    </w:p>
    <w:p w14:paraId="0EBD21CF" w14:textId="471B6D14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Charger un fichier d’ISBN par exemple.</w:t>
      </w:r>
    </w:p>
    <w:p w14:paraId="08C6CBB5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noProof/>
          <w:sz w:val="20"/>
          <w:lang w:eastAsia="fr-FR"/>
        </w:rPr>
        <w:drawing>
          <wp:inline distT="0" distB="0" distL="0" distR="0" wp14:anchorId="6285B48A" wp14:editId="3E6BFE2E">
            <wp:extent cx="5760720" cy="371729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4BA4" w14:textId="77777777" w:rsidR="00CB1A01" w:rsidRDefault="00CB1A01" w:rsidP="00CB1A01">
      <w:pPr>
        <w:jc w:val="both"/>
        <w:rPr>
          <w:rFonts w:ascii="Helvetica" w:hAnsi="Helvetica"/>
          <w:sz w:val="20"/>
        </w:rPr>
      </w:pPr>
    </w:p>
    <w:p w14:paraId="4D81997F" w14:textId="13774ABF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Consulter le rapport de traitement</w:t>
      </w:r>
    </w:p>
    <w:p w14:paraId="7FEA868F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noProof/>
          <w:sz w:val="20"/>
          <w:lang w:eastAsia="fr-FR"/>
        </w:rPr>
        <w:drawing>
          <wp:inline distT="0" distB="0" distL="0" distR="0" wp14:anchorId="500301B4" wp14:editId="1E652BD0">
            <wp:extent cx="5760720" cy="55499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0B97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Celui-ci indique que parmi les 4 ISBN, 3 ont une correspondance dans Alma et 1 autre n’existe pas.</w:t>
      </w:r>
    </w:p>
    <w:p w14:paraId="1E7E9293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noProof/>
          <w:sz w:val="20"/>
          <w:lang w:eastAsia="fr-FR"/>
        </w:rPr>
        <w:drawing>
          <wp:inline distT="0" distB="0" distL="0" distR="0" wp14:anchorId="2A4E80BD" wp14:editId="20AD92A7">
            <wp:extent cx="5760720" cy="132270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885D" w14:textId="77777777" w:rsidR="00CB1A01" w:rsidRDefault="00CB1A01" w:rsidP="00CB1A01">
      <w:pPr>
        <w:jc w:val="both"/>
        <w:rPr>
          <w:rFonts w:ascii="Helvetica" w:hAnsi="Helvetica"/>
          <w:sz w:val="20"/>
        </w:rPr>
      </w:pPr>
    </w:p>
    <w:p w14:paraId="78C9C866" w14:textId="1E7B198A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En cliquant sur « notices non mises en correspondance », un fichier peut être téléchargé. Il contient le ou les ISBN qui n’ont pas trouvé de correspondance dans Alma.</w:t>
      </w:r>
    </w:p>
    <w:p w14:paraId="7019D754" w14:textId="77777777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noProof/>
          <w:sz w:val="20"/>
          <w:lang w:eastAsia="fr-FR"/>
        </w:rPr>
        <w:lastRenderedPageBreak/>
        <w:drawing>
          <wp:inline distT="0" distB="0" distL="0" distR="0" wp14:anchorId="3DDFC8CA" wp14:editId="4D26C918">
            <wp:extent cx="3438524" cy="169821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90174" cy="17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6E61" w14:textId="77777777" w:rsidR="00CB1A01" w:rsidRDefault="00CB1A01" w:rsidP="00CB1A01">
      <w:pPr>
        <w:jc w:val="both"/>
        <w:rPr>
          <w:rFonts w:ascii="Helvetica" w:hAnsi="Helvetica"/>
          <w:sz w:val="20"/>
        </w:rPr>
      </w:pPr>
    </w:p>
    <w:p w14:paraId="2A66AF79" w14:textId="23B8451F" w:rsidR="00CB1A01" w:rsidRPr="00CB1A01" w:rsidRDefault="00CB1A01" w:rsidP="00CB1A01">
      <w:pPr>
        <w:jc w:val="both"/>
        <w:rPr>
          <w:rFonts w:ascii="Helvetica" w:hAnsi="Helvetica"/>
          <w:sz w:val="20"/>
        </w:rPr>
      </w:pPr>
      <w:r w:rsidRPr="00CB1A01">
        <w:rPr>
          <w:rFonts w:ascii="Helvetica" w:hAnsi="Helvetica"/>
          <w:sz w:val="20"/>
        </w:rPr>
        <w:t>En cliquant sur « </w:t>
      </w:r>
      <w:proofErr w:type="spellStart"/>
      <w:r w:rsidRPr="00CB1A01">
        <w:rPr>
          <w:rFonts w:ascii="Helvetica" w:hAnsi="Helvetica"/>
          <w:sz w:val="20"/>
        </w:rPr>
        <w:t>download</w:t>
      </w:r>
      <w:proofErr w:type="spellEnd"/>
      <w:r w:rsidRPr="00CB1A01">
        <w:rPr>
          <w:rFonts w:ascii="Helvetica" w:hAnsi="Helvetica"/>
          <w:sz w:val="20"/>
        </w:rPr>
        <w:t xml:space="preserve"> </w:t>
      </w:r>
      <w:proofErr w:type="spellStart"/>
      <w:r w:rsidRPr="00CB1A01">
        <w:rPr>
          <w:rFonts w:ascii="Helvetica" w:hAnsi="Helvetica"/>
          <w:sz w:val="20"/>
        </w:rPr>
        <w:t>error</w:t>
      </w:r>
      <w:proofErr w:type="spellEnd"/>
      <w:r w:rsidRPr="00CB1A01">
        <w:rPr>
          <w:rFonts w:ascii="Helvetica" w:hAnsi="Helvetica"/>
          <w:sz w:val="20"/>
        </w:rPr>
        <w:t xml:space="preserve"> file », un autre fichier peut être téléchargé. Il contient les ISBN recherchés et les MMS correspondants. Quand l’ISBN n’existe pas dans la base, la colonne « </w:t>
      </w:r>
      <w:proofErr w:type="spellStart"/>
      <w:r w:rsidRPr="00CB1A01">
        <w:rPr>
          <w:rFonts w:ascii="Helvetica" w:hAnsi="Helvetica"/>
          <w:sz w:val="20"/>
        </w:rPr>
        <w:t>errors</w:t>
      </w:r>
      <w:proofErr w:type="spellEnd"/>
      <w:r w:rsidRPr="00CB1A01">
        <w:rPr>
          <w:rFonts w:ascii="Helvetica" w:hAnsi="Helvetica"/>
          <w:sz w:val="20"/>
        </w:rPr>
        <w:t>/warning » est renseignée avec la mention « </w:t>
      </w:r>
      <w:proofErr w:type="spellStart"/>
      <w:r w:rsidRPr="00CB1A01">
        <w:rPr>
          <w:rFonts w:ascii="Helvetica" w:hAnsi="Helvetica"/>
          <w:sz w:val="20"/>
        </w:rPr>
        <w:t>error</w:t>
      </w:r>
      <w:proofErr w:type="spellEnd"/>
      <w:r w:rsidRPr="00CB1A01">
        <w:rPr>
          <w:rFonts w:ascii="Helvetica" w:hAnsi="Helvetica"/>
          <w:sz w:val="20"/>
        </w:rPr>
        <w:t xml:space="preserve"> </w:t>
      </w:r>
      <w:proofErr w:type="spellStart"/>
      <w:r w:rsidRPr="00CB1A01">
        <w:rPr>
          <w:rFonts w:ascii="Helvetica" w:hAnsi="Helvetica"/>
          <w:sz w:val="20"/>
        </w:rPr>
        <w:t>retrieving</w:t>
      </w:r>
      <w:proofErr w:type="spellEnd"/>
      <w:r w:rsidRPr="00CB1A01">
        <w:rPr>
          <w:rFonts w:ascii="Helvetica" w:hAnsi="Helvetica"/>
          <w:sz w:val="20"/>
        </w:rPr>
        <w:t xml:space="preserve"> identifier ».</w:t>
      </w:r>
    </w:p>
    <w:p w14:paraId="59900238" w14:textId="77777777" w:rsidR="0010575D" w:rsidRDefault="0010575D">
      <w:pPr>
        <w:rPr>
          <w:rFonts w:eastAsiaTheme="majorEastAsia" w:cstheme="majorBidi"/>
          <w:sz w:val="40"/>
          <w:szCs w:val="40"/>
        </w:rPr>
      </w:pPr>
      <w:r>
        <w:rPr>
          <w:sz w:val="40"/>
          <w:szCs w:val="40"/>
        </w:rPr>
        <w:br w:type="page"/>
      </w:r>
    </w:p>
    <w:p w14:paraId="17C14A78" w14:textId="23E79787" w:rsidR="00732813" w:rsidRDefault="00906DE2" w:rsidP="00732813">
      <w:pPr>
        <w:pStyle w:val="Titre1"/>
        <w:jc w:val="both"/>
        <w:rPr>
          <w:rFonts w:asciiTheme="minorHAnsi" w:hAnsiTheme="minorHAnsi"/>
          <w:color w:val="auto"/>
          <w:sz w:val="40"/>
          <w:szCs w:val="40"/>
        </w:rPr>
      </w:pPr>
      <w:r>
        <w:rPr>
          <w:rFonts w:asciiTheme="minorHAnsi" w:hAnsiTheme="minorHAnsi"/>
          <w:color w:val="auto"/>
          <w:sz w:val="40"/>
          <w:szCs w:val="40"/>
        </w:rPr>
        <w:lastRenderedPageBreak/>
        <w:t>Documentation électronique</w:t>
      </w:r>
    </w:p>
    <w:p w14:paraId="6D52994F" w14:textId="77777777" w:rsidR="00732813" w:rsidRDefault="00732813" w:rsidP="00732813">
      <w:pPr>
        <w:jc w:val="both"/>
      </w:pPr>
    </w:p>
    <w:p w14:paraId="14D062FD" w14:textId="74D20DF0" w:rsidR="00732813" w:rsidRPr="001833FA" w:rsidRDefault="00906DE2" w:rsidP="00732813">
      <w:pPr>
        <w:pStyle w:val="Titre2"/>
        <w:rPr>
          <w:rFonts w:asciiTheme="minorHAnsi" w:eastAsia="Times New Roman" w:hAnsiTheme="minorHAnsi" w:cstheme="minorHAnsi"/>
          <w:color w:val="auto"/>
          <w:sz w:val="32"/>
          <w:lang w:eastAsia="fr-FR"/>
        </w:rPr>
      </w:pPr>
      <w:r>
        <w:rPr>
          <w:rFonts w:asciiTheme="minorHAnsi" w:eastAsia="Times New Roman" w:hAnsiTheme="minorHAnsi" w:cstheme="minorHAnsi"/>
          <w:color w:val="auto"/>
          <w:sz w:val="32"/>
          <w:lang w:eastAsia="fr-FR"/>
        </w:rPr>
        <w:t xml:space="preserve">Service de texte intégral </w:t>
      </w:r>
      <w:proofErr w:type="spellStart"/>
      <w:r>
        <w:rPr>
          <w:rFonts w:asciiTheme="minorHAnsi" w:eastAsia="Times New Roman" w:hAnsiTheme="minorHAnsi" w:cstheme="minorHAnsi"/>
          <w:color w:val="auto"/>
          <w:sz w:val="32"/>
          <w:lang w:eastAsia="fr-FR"/>
        </w:rPr>
        <w:t>Istex</w:t>
      </w:r>
      <w:proofErr w:type="spellEnd"/>
    </w:p>
    <w:p w14:paraId="7808A2E7" w14:textId="2061D599" w:rsidR="00FF4B97" w:rsidRDefault="00906DE2" w:rsidP="00732813">
      <w:pPr>
        <w:shd w:val="clear" w:color="auto" w:fill="FFFFFF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Le résolveur de liens d’Alma peut désormais vérifier la disponibilité d’un article dans </w:t>
      </w:r>
      <w:proofErr w:type="spellStart"/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Istex</w:t>
      </w:r>
      <w:proofErr w:type="spellEnd"/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sur la base de son numéro DOI. En cas de disponibilité, un lien vers le texte intégral de la ressource sur la plateforme </w:t>
      </w:r>
      <w:proofErr w:type="spellStart"/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Istex</w:t>
      </w:r>
      <w:proofErr w:type="spellEnd"/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 xml:space="preserve"> est proposé. </w:t>
      </w:r>
    </w:p>
    <w:p w14:paraId="644C0008" w14:textId="2EC8E37C" w:rsidR="00906DE2" w:rsidRDefault="00906DE2" w:rsidP="00732813">
      <w:pPr>
        <w:shd w:val="clear" w:color="auto" w:fill="FFFFFF"/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Ce service ne fonctionne que pour les collections identifiées « </w:t>
      </w:r>
      <w:proofErr w:type="spellStart"/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Istex</w:t>
      </w:r>
      <w:proofErr w:type="spellEnd"/>
      <w:r>
        <w:rPr>
          <w:rFonts w:ascii="Helvetica" w:eastAsia="Times New Roman" w:hAnsi="Helvetica" w:cs="Helvetica"/>
          <w:color w:val="000000"/>
          <w:sz w:val="20"/>
          <w:szCs w:val="20"/>
          <w:lang w:eastAsia="fr-FR"/>
        </w:rPr>
        <w:t> » présentes dans la zone Communauté. </w:t>
      </w:r>
    </w:p>
    <w:p w14:paraId="73065170" w14:textId="1C1C38C6" w:rsidR="00732813" w:rsidRPr="00732813" w:rsidRDefault="00732813" w:rsidP="00732813">
      <w:pPr>
        <w:shd w:val="clear" w:color="auto" w:fill="FFFFFF"/>
        <w:jc w:val="both"/>
        <w:rPr>
          <w:rFonts w:ascii="Helvetica" w:eastAsia="Times New Roman" w:hAnsi="Helvetica" w:cstheme="minorHAnsi"/>
          <w:color w:val="000000"/>
          <w:sz w:val="20"/>
          <w:szCs w:val="20"/>
          <w:lang w:eastAsia="fr-FR"/>
        </w:rPr>
      </w:pPr>
      <w:r>
        <w:rPr>
          <w:sz w:val="40"/>
          <w:szCs w:val="40"/>
        </w:rPr>
        <w:br w:type="page"/>
      </w:r>
    </w:p>
    <w:p w14:paraId="3A36B3B1" w14:textId="48B8C264" w:rsidR="000E6664" w:rsidRDefault="001363FA" w:rsidP="000E6664">
      <w:pPr>
        <w:pStyle w:val="Titre1"/>
        <w:jc w:val="both"/>
        <w:rPr>
          <w:rFonts w:asciiTheme="minorHAnsi" w:hAnsiTheme="minorHAnsi"/>
          <w:color w:val="auto"/>
          <w:sz w:val="40"/>
          <w:szCs w:val="40"/>
        </w:rPr>
      </w:pPr>
      <w:r>
        <w:rPr>
          <w:rFonts w:asciiTheme="minorHAnsi" w:hAnsiTheme="minorHAnsi"/>
          <w:color w:val="auto"/>
          <w:sz w:val="40"/>
          <w:szCs w:val="40"/>
        </w:rPr>
        <w:lastRenderedPageBreak/>
        <w:t xml:space="preserve">Alma </w:t>
      </w:r>
      <w:proofErr w:type="spellStart"/>
      <w:r>
        <w:rPr>
          <w:rFonts w:asciiTheme="minorHAnsi" w:hAnsiTheme="minorHAnsi"/>
          <w:color w:val="auto"/>
          <w:sz w:val="40"/>
          <w:szCs w:val="40"/>
        </w:rPr>
        <w:t>Analytics</w:t>
      </w:r>
      <w:proofErr w:type="spellEnd"/>
    </w:p>
    <w:p w14:paraId="5F986198" w14:textId="77777777" w:rsidR="000E6664" w:rsidRDefault="000E6664" w:rsidP="000E6664">
      <w:pPr>
        <w:jc w:val="both"/>
      </w:pPr>
    </w:p>
    <w:p w14:paraId="73E4EB51" w14:textId="7A5A8D0B" w:rsidR="000E6664" w:rsidRPr="003A7E2C" w:rsidRDefault="005677A0" w:rsidP="000E6664">
      <w:pPr>
        <w:pStyle w:val="Titre2"/>
        <w:jc w:val="both"/>
        <w:rPr>
          <w:rFonts w:asciiTheme="minorHAnsi" w:hAnsiTheme="minorHAnsi"/>
          <w:color w:val="auto"/>
          <w:sz w:val="32"/>
        </w:rPr>
      </w:pPr>
      <w:r>
        <w:rPr>
          <w:rFonts w:asciiTheme="minorHAnsi" w:hAnsiTheme="minorHAnsi"/>
          <w:color w:val="auto"/>
          <w:sz w:val="32"/>
        </w:rPr>
        <w:t>Evolution de l’architecture</w:t>
      </w:r>
    </w:p>
    <w:p w14:paraId="40C1A81B" w14:textId="1CF15E4E" w:rsidR="001419AC" w:rsidRDefault="001419AC" w:rsidP="00D53188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La migration d’Oracle Business Intelligence Enterprise Edition (OBIEE), le logiciel actuellement utilisé sous le nom commercial d’Alma </w:t>
      </w:r>
      <w:proofErr w:type="spellStart"/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>Analytics</w:t>
      </w:r>
      <w:proofErr w:type="spellEnd"/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>, vers un nouveau produit, b</w:t>
      </w:r>
      <w:r w:rsidR="004764E5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aptisé Oracle </w:t>
      </w:r>
      <w:proofErr w:type="spellStart"/>
      <w:r w:rsidR="004764E5">
        <w:rPr>
          <w:rFonts w:ascii="Helvetica" w:hAnsi="Helvetica"/>
          <w:color w:val="000000"/>
          <w:sz w:val="20"/>
          <w:szCs w:val="18"/>
          <w:shd w:val="clear" w:color="auto" w:fill="FFFFFF"/>
        </w:rPr>
        <w:t>Analytics</w:t>
      </w:r>
      <w:proofErr w:type="spellEnd"/>
      <w:r w:rsidR="004764E5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Server est désormais fixée pour la période qui va du 11 au 18 octobre 2020. </w:t>
      </w:r>
    </w:p>
    <w:p w14:paraId="72BBA396" w14:textId="5FBB16A3" w:rsidR="004764E5" w:rsidRDefault="004764E5" w:rsidP="00D53188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Comme il a déjà été annoncé, Alma </w:t>
      </w:r>
      <w:proofErr w:type="spellStart"/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>Analytics</w:t>
      </w:r>
      <w:proofErr w:type="spellEnd"/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restera utilisable durant toute cette période, mais aucun rapport ne pourra être migré. </w:t>
      </w:r>
    </w:p>
    <w:p w14:paraId="6E0ACC70" w14:textId="4711F18F" w:rsidR="001419AC" w:rsidRDefault="004764E5" w:rsidP="00D53188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>Les rapports déjà créés seront migrés sans intervention des administrateurs s’ils sont dans le dossier partagé ABES – Toulouse COMUE. En revanche, les rapports présents dans les espaces personnels y devront être copiés pour pouvoir être migrés. Cette copie devra être effectuée par chacun dans un dossier nominatif créé à cette fin par le SICD, avant le 1</w:t>
      </w:r>
      <w:r w:rsidRPr="004764E5">
        <w:rPr>
          <w:rFonts w:ascii="Helvetica" w:hAnsi="Helvetica"/>
          <w:color w:val="000000"/>
          <w:sz w:val="20"/>
          <w:szCs w:val="18"/>
          <w:shd w:val="clear" w:color="auto" w:fill="FFFFFF"/>
          <w:vertAlign w:val="superscript"/>
        </w:rPr>
        <w:t>er</w:t>
      </w:r>
      <w:r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octobre. Le SICD n’accède pas aux espaces personnels de stockage et ne pourra donc pas prendre à sa charge cette copie ou ce transfert de requêtes. </w:t>
      </w:r>
      <w:r w:rsidR="005B6944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</w:t>
      </w:r>
      <w:r w:rsidR="001419AC">
        <w:rPr>
          <w:rFonts w:ascii="Helvetica" w:hAnsi="Helvetica"/>
          <w:color w:val="000000"/>
          <w:sz w:val="20"/>
          <w:szCs w:val="18"/>
          <w:shd w:val="clear" w:color="auto" w:fill="FFFFFF"/>
        </w:rPr>
        <w:t xml:space="preserve"> </w:t>
      </w:r>
    </w:p>
    <w:p w14:paraId="2A93E7BB" w14:textId="36987A47" w:rsidR="00554029" w:rsidRDefault="00554029" w:rsidP="00D53188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</w:p>
    <w:p w14:paraId="4D223B43" w14:textId="3BC3CE89" w:rsidR="001363FA" w:rsidRDefault="001363FA" w:rsidP="00D53188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</w:p>
    <w:bookmarkEnd w:id="0"/>
    <w:bookmarkEnd w:id="4"/>
    <w:p w14:paraId="3BB43EC0" w14:textId="022DA196" w:rsidR="00D808A9" w:rsidRPr="000F613D" w:rsidRDefault="00D808A9" w:rsidP="000F613D">
      <w:pPr>
        <w:jc w:val="both"/>
        <w:rPr>
          <w:rFonts w:ascii="Helvetica" w:hAnsi="Helvetica"/>
          <w:color w:val="000000"/>
          <w:sz w:val="20"/>
          <w:szCs w:val="18"/>
          <w:shd w:val="clear" w:color="auto" w:fill="FFFFFF"/>
        </w:rPr>
      </w:pPr>
    </w:p>
    <w:sectPr w:rsidR="00D808A9" w:rsidRPr="000F613D">
      <w:headerReference w:type="default" r:id="rId35"/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251FE" w14:textId="77777777" w:rsidR="00993E0B" w:rsidRDefault="00993E0B" w:rsidP="0000222F">
      <w:pPr>
        <w:spacing w:after="0" w:line="240" w:lineRule="auto"/>
      </w:pPr>
      <w:r>
        <w:separator/>
      </w:r>
    </w:p>
  </w:endnote>
  <w:endnote w:type="continuationSeparator" w:id="0">
    <w:p w14:paraId="524DF605" w14:textId="77777777" w:rsidR="00993E0B" w:rsidRDefault="00993E0B" w:rsidP="0000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7706716"/>
      <w:docPartObj>
        <w:docPartGallery w:val="Page Numbers (Bottom of Page)"/>
        <w:docPartUnique/>
      </w:docPartObj>
    </w:sdtPr>
    <w:sdtEndPr/>
    <w:sdtContent>
      <w:p w14:paraId="65BB0FCF" w14:textId="42F4E9D2" w:rsidR="00347DAF" w:rsidRDefault="00347DAF">
        <w:pPr>
          <w:pStyle w:val="Pieddepage"/>
          <w:jc w:val="right"/>
        </w:pPr>
        <w:r w:rsidRPr="004B003B">
          <w:rPr>
            <w:rFonts w:ascii="Constantia" w:hAnsi="Constantia"/>
            <w:sz w:val="24"/>
          </w:rPr>
          <w:fldChar w:fldCharType="begin"/>
        </w:r>
        <w:r w:rsidRPr="004B003B">
          <w:rPr>
            <w:rFonts w:ascii="Constantia" w:hAnsi="Constantia"/>
            <w:sz w:val="24"/>
          </w:rPr>
          <w:instrText>PAGE   \* MERGEFORMAT</w:instrText>
        </w:r>
        <w:r w:rsidRPr="004B003B">
          <w:rPr>
            <w:rFonts w:ascii="Constantia" w:hAnsi="Constantia"/>
            <w:sz w:val="24"/>
          </w:rPr>
          <w:fldChar w:fldCharType="separate"/>
        </w:r>
        <w:r w:rsidR="00906DE2">
          <w:rPr>
            <w:rFonts w:ascii="Constantia" w:hAnsi="Constantia"/>
            <w:noProof/>
            <w:sz w:val="24"/>
          </w:rPr>
          <w:t>4</w:t>
        </w:r>
        <w:r w:rsidRPr="004B003B">
          <w:rPr>
            <w:rFonts w:ascii="Constantia" w:hAnsi="Constantia"/>
            <w:sz w:val="24"/>
          </w:rPr>
          <w:fldChar w:fldCharType="end"/>
        </w:r>
      </w:p>
    </w:sdtContent>
  </w:sdt>
  <w:p w14:paraId="545A5A6E" w14:textId="77777777" w:rsidR="00347DAF" w:rsidRPr="0000222F" w:rsidRDefault="00347DAF">
    <w:pPr>
      <w:pStyle w:val="Pieddepage"/>
      <w:rPr>
        <w:rFonts w:ascii="Constantia" w:hAnsi="Constant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3513E" w14:textId="77777777" w:rsidR="00993E0B" w:rsidRDefault="00993E0B" w:rsidP="0000222F">
      <w:pPr>
        <w:spacing w:after="0" w:line="240" w:lineRule="auto"/>
      </w:pPr>
      <w:r>
        <w:separator/>
      </w:r>
    </w:p>
  </w:footnote>
  <w:footnote w:type="continuationSeparator" w:id="0">
    <w:p w14:paraId="643C20CE" w14:textId="77777777" w:rsidR="00993E0B" w:rsidRDefault="00993E0B" w:rsidP="00002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F0BC2" w14:textId="1C178BD5" w:rsidR="00347DAF" w:rsidRDefault="00347DAF">
    <w:pPr>
      <w:spacing w:line="264" w:lineRule="auto"/>
    </w:pPr>
    <w:r>
      <w:rPr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A9BC82" wp14:editId="71B188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44AAA10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onstantia" w:hAnsi="Constantia"/>
          <w:color w:val="000000" w:themeColor="text1"/>
          <w:sz w:val="20"/>
          <w:szCs w:val="20"/>
        </w:rPr>
        <w:alias w:val="Titre"/>
        <w:id w:val="15524250"/>
        <w:placeholder>
          <w:docPart w:val="1F140EDFA42749DCA90E4D7A91410D1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4764E5">
          <w:rPr>
            <w:rFonts w:ascii="Constantia" w:hAnsi="Constantia"/>
            <w:color w:val="000000" w:themeColor="text1"/>
            <w:sz w:val="20"/>
            <w:szCs w:val="20"/>
          </w:rPr>
          <w:t>Note de version Alma – Août 2020</w:t>
        </w:r>
      </w:sdtContent>
    </w:sdt>
  </w:p>
  <w:p w14:paraId="09C2C149" w14:textId="77777777" w:rsidR="00347DAF" w:rsidRDefault="00347DA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75F"/>
    <w:multiLevelType w:val="hybridMultilevel"/>
    <w:tmpl w:val="283291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52AB4"/>
    <w:multiLevelType w:val="hybridMultilevel"/>
    <w:tmpl w:val="F0F805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B495F"/>
    <w:multiLevelType w:val="hybridMultilevel"/>
    <w:tmpl w:val="201E90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10265"/>
    <w:multiLevelType w:val="hybridMultilevel"/>
    <w:tmpl w:val="34CE2C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06166"/>
    <w:multiLevelType w:val="multilevel"/>
    <w:tmpl w:val="ABF092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CD6B0E"/>
    <w:multiLevelType w:val="hybridMultilevel"/>
    <w:tmpl w:val="8A20847A"/>
    <w:lvl w:ilvl="0" w:tplc="040C0005">
      <w:start w:val="1"/>
      <w:numFmt w:val="bullet"/>
      <w:lvlText w:val=""/>
      <w:lvlJc w:val="left"/>
      <w:pPr>
        <w:ind w:left="8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196F7037"/>
    <w:multiLevelType w:val="hybridMultilevel"/>
    <w:tmpl w:val="52E446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C3C6D"/>
    <w:multiLevelType w:val="hybridMultilevel"/>
    <w:tmpl w:val="D5F0022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73FCD"/>
    <w:multiLevelType w:val="hybridMultilevel"/>
    <w:tmpl w:val="96CA59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5365E"/>
    <w:multiLevelType w:val="multilevel"/>
    <w:tmpl w:val="CD7A6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1E0A77"/>
    <w:multiLevelType w:val="hybridMultilevel"/>
    <w:tmpl w:val="3556A506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B3F2291"/>
    <w:multiLevelType w:val="hybridMultilevel"/>
    <w:tmpl w:val="923EF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25CC4"/>
    <w:multiLevelType w:val="hybridMultilevel"/>
    <w:tmpl w:val="31F043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B4A95"/>
    <w:multiLevelType w:val="hybridMultilevel"/>
    <w:tmpl w:val="DAD83E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50C7F"/>
    <w:multiLevelType w:val="hybridMultilevel"/>
    <w:tmpl w:val="3D7A04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3119A"/>
    <w:multiLevelType w:val="hybridMultilevel"/>
    <w:tmpl w:val="F7FAD108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DA26BB3"/>
    <w:multiLevelType w:val="hybridMultilevel"/>
    <w:tmpl w:val="16E225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A38C7"/>
    <w:multiLevelType w:val="hybridMultilevel"/>
    <w:tmpl w:val="D2A6A512"/>
    <w:lvl w:ilvl="0" w:tplc="419EB2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091BC3"/>
    <w:multiLevelType w:val="multilevel"/>
    <w:tmpl w:val="9D3C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7FE2B39"/>
    <w:multiLevelType w:val="hybridMultilevel"/>
    <w:tmpl w:val="26EE00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9"/>
  </w:num>
  <w:num w:numId="4">
    <w:abstractNumId w:val="0"/>
  </w:num>
  <w:num w:numId="5">
    <w:abstractNumId w:val="14"/>
  </w:num>
  <w:num w:numId="6">
    <w:abstractNumId w:val="8"/>
  </w:num>
  <w:num w:numId="7">
    <w:abstractNumId w:val="6"/>
  </w:num>
  <w:num w:numId="8">
    <w:abstractNumId w:val="15"/>
  </w:num>
  <w:num w:numId="9">
    <w:abstractNumId w:val="17"/>
  </w:num>
  <w:num w:numId="10">
    <w:abstractNumId w:val="18"/>
  </w:num>
  <w:num w:numId="11">
    <w:abstractNumId w:val="9"/>
  </w:num>
  <w:num w:numId="12">
    <w:abstractNumId w:val="4"/>
  </w:num>
  <w:num w:numId="13">
    <w:abstractNumId w:val="13"/>
  </w:num>
  <w:num w:numId="14">
    <w:abstractNumId w:val="12"/>
  </w:num>
  <w:num w:numId="15">
    <w:abstractNumId w:val="3"/>
  </w:num>
  <w:num w:numId="16">
    <w:abstractNumId w:val="1"/>
  </w:num>
  <w:num w:numId="17">
    <w:abstractNumId w:val="7"/>
  </w:num>
  <w:num w:numId="18">
    <w:abstractNumId w:val="10"/>
  </w:num>
  <w:num w:numId="19">
    <w:abstractNumId w:val="2"/>
  </w:num>
  <w:num w:numId="20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B4"/>
    <w:rsid w:val="0000222F"/>
    <w:rsid w:val="00005002"/>
    <w:rsid w:val="00012B9E"/>
    <w:rsid w:val="00014F96"/>
    <w:rsid w:val="00024F2F"/>
    <w:rsid w:val="00025E7E"/>
    <w:rsid w:val="000260C2"/>
    <w:rsid w:val="0002716A"/>
    <w:rsid w:val="0003678A"/>
    <w:rsid w:val="00036CBD"/>
    <w:rsid w:val="000401DE"/>
    <w:rsid w:val="00041564"/>
    <w:rsid w:val="000511AD"/>
    <w:rsid w:val="00062C53"/>
    <w:rsid w:val="000736F5"/>
    <w:rsid w:val="00073CD9"/>
    <w:rsid w:val="000873D3"/>
    <w:rsid w:val="00090297"/>
    <w:rsid w:val="00090B99"/>
    <w:rsid w:val="000C59D6"/>
    <w:rsid w:val="000D3C15"/>
    <w:rsid w:val="000D65EB"/>
    <w:rsid w:val="000D6D4E"/>
    <w:rsid w:val="000E47BE"/>
    <w:rsid w:val="000E6664"/>
    <w:rsid w:val="000F01AA"/>
    <w:rsid w:val="000F3190"/>
    <w:rsid w:val="000F613D"/>
    <w:rsid w:val="000F747B"/>
    <w:rsid w:val="00102B8A"/>
    <w:rsid w:val="0010457B"/>
    <w:rsid w:val="00105490"/>
    <w:rsid w:val="0010575D"/>
    <w:rsid w:val="00111459"/>
    <w:rsid w:val="00112A0B"/>
    <w:rsid w:val="00117E9B"/>
    <w:rsid w:val="001201B4"/>
    <w:rsid w:val="001363FA"/>
    <w:rsid w:val="00136AAE"/>
    <w:rsid w:val="001419AC"/>
    <w:rsid w:val="00145FE2"/>
    <w:rsid w:val="001470CD"/>
    <w:rsid w:val="001650B2"/>
    <w:rsid w:val="001701A0"/>
    <w:rsid w:val="00172A1B"/>
    <w:rsid w:val="00181D92"/>
    <w:rsid w:val="001833FA"/>
    <w:rsid w:val="001939F8"/>
    <w:rsid w:val="001A1BD8"/>
    <w:rsid w:val="001A4E59"/>
    <w:rsid w:val="001B18ED"/>
    <w:rsid w:val="001B1DC2"/>
    <w:rsid w:val="001B29BE"/>
    <w:rsid w:val="001C53F4"/>
    <w:rsid w:val="001C78C1"/>
    <w:rsid w:val="001D4763"/>
    <w:rsid w:val="001D5E23"/>
    <w:rsid w:val="001E03D0"/>
    <w:rsid w:val="001E3A89"/>
    <w:rsid w:val="001F1BC0"/>
    <w:rsid w:val="0020526F"/>
    <w:rsid w:val="002118A1"/>
    <w:rsid w:val="00214FC2"/>
    <w:rsid w:val="00261FDF"/>
    <w:rsid w:val="00262B13"/>
    <w:rsid w:val="00270474"/>
    <w:rsid w:val="00272361"/>
    <w:rsid w:val="002725CC"/>
    <w:rsid w:val="00274673"/>
    <w:rsid w:val="00275004"/>
    <w:rsid w:val="00285875"/>
    <w:rsid w:val="00291304"/>
    <w:rsid w:val="0029509B"/>
    <w:rsid w:val="002A70D3"/>
    <w:rsid w:val="002A7A9B"/>
    <w:rsid w:val="002C314B"/>
    <w:rsid w:val="002C4D55"/>
    <w:rsid w:val="002D079A"/>
    <w:rsid w:val="002D7AE5"/>
    <w:rsid w:val="002F1327"/>
    <w:rsid w:val="002F7152"/>
    <w:rsid w:val="002F7B16"/>
    <w:rsid w:val="00307E00"/>
    <w:rsid w:val="00311A0C"/>
    <w:rsid w:val="00312B5C"/>
    <w:rsid w:val="00314C37"/>
    <w:rsid w:val="00321A9A"/>
    <w:rsid w:val="003224A7"/>
    <w:rsid w:val="0032429A"/>
    <w:rsid w:val="003251D8"/>
    <w:rsid w:val="00326913"/>
    <w:rsid w:val="003474A7"/>
    <w:rsid w:val="00347DAF"/>
    <w:rsid w:val="00355D48"/>
    <w:rsid w:val="00361902"/>
    <w:rsid w:val="00364FCC"/>
    <w:rsid w:val="00384C81"/>
    <w:rsid w:val="00386DFF"/>
    <w:rsid w:val="003A0D01"/>
    <w:rsid w:val="003A762F"/>
    <w:rsid w:val="003A7E2C"/>
    <w:rsid w:val="003B040C"/>
    <w:rsid w:val="003B2431"/>
    <w:rsid w:val="003C7825"/>
    <w:rsid w:val="003D3BED"/>
    <w:rsid w:val="003E09B8"/>
    <w:rsid w:val="003E38D0"/>
    <w:rsid w:val="003E5F2E"/>
    <w:rsid w:val="003F402B"/>
    <w:rsid w:val="00415DFF"/>
    <w:rsid w:val="004206D0"/>
    <w:rsid w:val="00441B1F"/>
    <w:rsid w:val="00443F9F"/>
    <w:rsid w:val="00454796"/>
    <w:rsid w:val="0045601C"/>
    <w:rsid w:val="0045770F"/>
    <w:rsid w:val="0045797F"/>
    <w:rsid w:val="004664C3"/>
    <w:rsid w:val="004673BE"/>
    <w:rsid w:val="004679EA"/>
    <w:rsid w:val="0047260A"/>
    <w:rsid w:val="00474B3A"/>
    <w:rsid w:val="004764E5"/>
    <w:rsid w:val="00481AA2"/>
    <w:rsid w:val="0048554F"/>
    <w:rsid w:val="00486028"/>
    <w:rsid w:val="00486537"/>
    <w:rsid w:val="004902A6"/>
    <w:rsid w:val="00491A58"/>
    <w:rsid w:val="00491C52"/>
    <w:rsid w:val="00494A30"/>
    <w:rsid w:val="004A67C3"/>
    <w:rsid w:val="004A6BC9"/>
    <w:rsid w:val="004A7E19"/>
    <w:rsid w:val="004A7E7A"/>
    <w:rsid w:val="004B003B"/>
    <w:rsid w:val="004B5E2C"/>
    <w:rsid w:val="004D0282"/>
    <w:rsid w:val="004E50F5"/>
    <w:rsid w:val="004E6CAC"/>
    <w:rsid w:val="005007A3"/>
    <w:rsid w:val="005214E6"/>
    <w:rsid w:val="00524A5D"/>
    <w:rsid w:val="00535A67"/>
    <w:rsid w:val="005370F4"/>
    <w:rsid w:val="0054008B"/>
    <w:rsid w:val="00540F8B"/>
    <w:rsid w:val="00541138"/>
    <w:rsid w:val="00550E1E"/>
    <w:rsid w:val="0055368B"/>
    <w:rsid w:val="00554029"/>
    <w:rsid w:val="00554259"/>
    <w:rsid w:val="005549C4"/>
    <w:rsid w:val="005656F2"/>
    <w:rsid w:val="005677A0"/>
    <w:rsid w:val="005772B3"/>
    <w:rsid w:val="00583BDD"/>
    <w:rsid w:val="00585D27"/>
    <w:rsid w:val="00597121"/>
    <w:rsid w:val="005A408F"/>
    <w:rsid w:val="005A4119"/>
    <w:rsid w:val="005B6944"/>
    <w:rsid w:val="005B6C9E"/>
    <w:rsid w:val="005C0361"/>
    <w:rsid w:val="005C2C1F"/>
    <w:rsid w:val="005D2440"/>
    <w:rsid w:val="005D3BFC"/>
    <w:rsid w:val="005D75FA"/>
    <w:rsid w:val="005E08E8"/>
    <w:rsid w:val="005E4B7B"/>
    <w:rsid w:val="005E6A4B"/>
    <w:rsid w:val="005E6DCD"/>
    <w:rsid w:val="005F052D"/>
    <w:rsid w:val="006148A9"/>
    <w:rsid w:val="006363E2"/>
    <w:rsid w:val="00636B65"/>
    <w:rsid w:val="00640F75"/>
    <w:rsid w:val="00657179"/>
    <w:rsid w:val="00681DFC"/>
    <w:rsid w:val="00682C02"/>
    <w:rsid w:val="0068354E"/>
    <w:rsid w:val="00695161"/>
    <w:rsid w:val="00695988"/>
    <w:rsid w:val="006A13D4"/>
    <w:rsid w:val="006B38F8"/>
    <w:rsid w:val="006B3C74"/>
    <w:rsid w:val="006B7860"/>
    <w:rsid w:val="006C3D7A"/>
    <w:rsid w:val="006C519D"/>
    <w:rsid w:val="006C5B78"/>
    <w:rsid w:val="006D416A"/>
    <w:rsid w:val="006E6104"/>
    <w:rsid w:val="006F79D3"/>
    <w:rsid w:val="00703D19"/>
    <w:rsid w:val="00707575"/>
    <w:rsid w:val="00721FB1"/>
    <w:rsid w:val="00722E33"/>
    <w:rsid w:val="00732813"/>
    <w:rsid w:val="00735F64"/>
    <w:rsid w:val="00737F51"/>
    <w:rsid w:val="007423BA"/>
    <w:rsid w:val="00744D74"/>
    <w:rsid w:val="00745935"/>
    <w:rsid w:val="00754F77"/>
    <w:rsid w:val="00761709"/>
    <w:rsid w:val="00763E4A"/>
    <w:rsid w:val="0076624E"/>
    <w:rsid w:val="00775133"/>
    <w:rsid w:val="00784A00"/>
    <w:rsid w:val="00791893"/>
    <w:rsid w:val="007A586E"/>
    <w:rsid w:val="007A5C14"/>
    <w:rsid w:val="007B4945"/>
    <w:rsid w:val="007C474D"/>
    <w:rsid w:val="007E08ED"/>
    <w:rsid w:val="007E723C"/>
    <w:rsid w:val="007F1B48"/>
    <w:rsid w:val="00802C71"/>
    <w:rsid w:val="00805200"/>
    <w:rsid w:val="008069AF"/>
    <w:rsid w:val="008071FD"/>
    <w:rsid w:val="00813BFE"/>
    <w:rsid w:val="00817E7F"/>
    <w:rsid w:val="00821296"/>
    <w:rsid w:val="0082353A"/>
    <w:rsid w:val="008275DC"/>
    <w:rsid w:val="00830066"/>
    <w:rsid w:val="0083132C"/>
    <w:rsid w:val="008358D1"/>
    <w:rsid w:val="00837E79"/>
    <w:rsid w:val="00845B33"/>
    <w:rsid w:val="00854DA3"/>
    <w:rsid w:val="00860D89"/>
    <w:rsid w:val="00861AD0"/>
    <w:rsid w:val="008626E3"/>
    <w:rsid w:val="00863139"/>
    <w:rsid w:val="00863DDD"/>
    <w:rsid w:val="008802FB"/>
    <w:rsid w:val="00882C2D"/>
    <w:rsid w:val="00886422"/>
    <w:rsid w:val="00892E14"/>
    <w:rsid w:val="00894A43"/>
    <w:rsid w:val="008A04F6"/>
    <w:rsid w:val="008B20F5"/>
    <w:rsid w:val="008B2251"/>
    <w:rsid w:val="008B4BE1"/>
    <w:rsid w:val="008B5D6E"/>
    <w:rsid w:val="008B6CE6"/>
    <w:rsid w:val="008C3035"/>
    <w:rsid w:val="008C63D9"/>
    <w:rsid w:val="008C7E93"/>
    <w:rsid w:val="008D0B16"/>
    <w:rsid w:val="008D5E7F"/>
    <w:rsid w:val="008D669B"/>
    <w:rsid w:val="008E2F8E"/>
    <w:rsid w:val="009053C2"/>
    <w:rsid w:val="0090602D"/>
    <w:rsid w:val="00906DE2"/>
    <w:rsid w:val="00921EF0"/>
    <w:rsid w:val="00926FBE"/>
    <w:rsid w:val="00934631"/>
    <w:rsid w:val="00936142"/>
    <w:rsid w:val="00937C7A"/>
    <w:rsid w:val="0094093B"/>
    <w:rsid w:val="0094099C"/>
    <w:rsid w:val="0095066F"/>
    <w:rsid w:val="00957BB2"/>
    <w:rsid w:val="00961C39"/>
    <w:rsid w:val="00967E80"/>
    <w:rsid w:val="00976C63"/>
    <w:rsid w:val="00984A2A"/>
    <w:rsid w:val="009868D5"/>
    <w:rsid w:val="0099021A"/>
    <w:rsid w:val="009922B4"/>
    <w:rsid w:val="00993E0B"/>
    <w:rsid w:val="009946DD"/>
    <w:rsid w:val="00997C68"/>
    <w:rsid w:val="009A43EE"/>
    <w:rsid w:val="009B26B5"/>
    <w:rsid w:val="009C0F47"/>
    <w:rsid w:val="009C1D33"/>
    <w:rsid w:val="009C2364"/>
    <w:rsid w:val="009D1495"/>
    <w:rsid w:val="009D56DD"/>
    <w:rsid w:val="009D7D87"/>
    <w:rsid w:val="009F7DE1"/>
    <w:rsid w:val="00A000A4"/>
    <w:rsid w:val="00A032F5"/>
    <w:rsid w:val="00A16404"/>
    <w:rsid w:val="00A20C95"/>
    <w:rsid w:val="00A2599D"/>
    <w:rsid w:val="00A30750"/>
    <w:rsid w:val="00A331DC"/>
    <w:rsid w:val="00A37F67"/>
    <w:rsid w:val="00A432A7"/>
    <w:rsid w:val="00A51303"/>
    <w:rsid w:val="00A616A7"/>
    <w:rsid w:val="00A624BB"/>
    <w:rsid w:val="00A75AC2"/>
    <w:rsid w:val="00A77C5E"/>
    <w:rsid w:val="00A830B5"/>
    <w:rsid w:val="00A9096E"/>
    <w:rsid w:val="00A97418"/>
    <w:rsid w:val="00AA2219"/>
    <w:rsid w:val="00AA361A"/>
    <w:rsid w:val="00AA52A5"/>
    <w:rsid w:val="00AB040F"/>
    <w:rsid w:val="00AB09C4"/>
    <w:rsid w:val="00AB4CAB"/>
    <w:rsid w:val="00AB6035"/>
    <w:rsid w:val="00AD0E4D"/>
    <w:rsid w:val="00AD218A"/>
    <w:rsid w:val="00AD5CF2"/>
    <w:rsid w:val="00AE1C5E"/>
    <w:rsid w:val="00AF0106"/>
    <w:rsid w:val="00AF1418"/>
    <w:rsid w:val="00B15183"/>
    <w:rsid w:val="00B202CE"/>
    <w:rsid w:val="00B22555"/>
    <w:rsid w:val="00B433E8"/>
    <w:rsid w:val="00B43534"/>
    <w:rsid w:val="00B45BD6"/>
    <w:rsid w:val="00B60CFB"/>
    <w:rsid w:val="00B62FD4"/>
    <w:rsid w:val="00B65A84"/>
    <w:rsid w:val="00B65AA3"/>
    <w:rsid w:val="00B7042F"/>
    <w:rsid w:val="00B733AC"/>
    <w:rsid w:val="00B9082F"/>
    <w:rsid w:val="00B918BB"/>
    <w:rsid w:val="00B9329E"/>
    <w:rsid w:val="00BB4679"/>
    <w:rsid w:val="00BC0A6A"/>
    <w:rsid w:val="00BD096F"/>
    <w:rsid w:val="00BD2AA4"/>
    <w:rsid w:val="00BD4AD5"/>
    <w:rsid w:val="00BD53C0"/>
    <w:rsid w:val="00BE5B2D"/>
    <w:rsid w:val="00BF425D"/>
    <w:rsid w:val="00BF4759"/>
    <w:rsid w:val="00BF5A00"/>
    <w:rsid w:val="00C06A60"/>
    <w:rsid w:val="00C0733A"/>
    <w:rsid w:val="00C07835"/>
    <w:rsid w:val="00C153AD"/>
    <w:rsid w:val="00C21EBA"/>
    <w:rsid w:val="00C357BA"/>
    <w:rsid w:val="00C35CE1"/>
    <w:rsid w:val="00C36024"/>
    <w:rsid w:val="00C441E8"/>
    <w:rsid w:val="00C44BA5"/>
    <w:rsid w:val="00C54E4F"/>
    <w:rsid w:val="00C632B8"/>
    <w:rsid w:val="00C65FCD"/>
    <w:rsid w:val="00C7078F"/>
    <w:rsid w:val="00C72F09"/>
    <w:rsid w:val="00C771BF"/>
    <w:rsid w:val="00C84664"/>
    <w:rsid w:val="00C96FF6"/>
    <w:rsid w:val="00CA085C"/>
    <w:rsid w:val="00CA19C1"/>
    <w:rsid w:val="00CB1A01"/>
    <w:rsid w:val="00CB5465"/>
    <w:rsid w:val="00CB7EB4"/>
    <w:rsid w:val="00CC11CF"/>
    <w:rsid w:val="00CD1F44"/>
    <w:rsid w:val="00CE1D11"/>
    <w:rsid w:val="00CF1D7F"/>
    <w:rsid w:val="00CF2C88"/>
    <w:rsid w:val="00D015CD"/>
    <w:rsid w:val="00D03220"/>
    <w:rsid w:val="00D17106"/>
    <w:rsid w:val="00D24698"/>
    <w:rsid w:val="00D24F72"/>
    <w:rsid w:val="00D25941"/>
    <w:rsid w:val="00D34BC5"/>
    <w:rsid w:val="00D36CF5"/>
    <w:rsid w:val="00D4164C"/>
    <w:rsid w:val="00D42384"/>
    <w:rsid w:val="00D426EA"/>
    <w:rsid w:val="00D45973"/>
    <w:rsid w:val="00D46E93"/>
    <w:rsid w:val="00D50587"/>
    <w:rsid w:val="00D50A0E"/>
    <w:rsid w:val="00D50E3E"/>
    <w:rsid w:val="00D52E7B"/>
    <w:rsid w:val="00D53188"/>
    <w:rsid w:val="00D55233"/>
    <w:rsid w:val="00D65525"/>
    <w:rsid w:val="00D70AEC"/>
    <w:rsid w:val="00D74046"/>
    <w:rsid w:val="00D75DC5"/>
    <w:rsid w:val="00D77664"/>
    <w:rsid w:val="00D808A9"/>
    <w:rsid w:val="00D81E58"/>
    <w:rsid w:val="00D872C1"/>
    <w:rsid w:val="00D9408D"/>
    <w:rsid w:val="00D94796"/>
    <w:rsid w:val="00DA5EAF"/>
    <w:rsid w:val="00DB33B9"/>
    <w:rsid w:val="00DB7EF8"/>
    <w:rsid w:val="00DC1426"/>
    <w:rsid w:val="00DD1B82"/>
    <w:rsid w:val="00DD7033"/>
    <w:rsid w:val="00DF1B14"/>
    <w:rsid w:val="00DF2422"/>
    <w:rsid w:val="00E0351C"/>
    <w:rsid w:val="00E039CD"/>
    <w:rsid w:val="00E079EB"/>
    <w:rsid w:val="00E07DCD"/>
    <w:rsid w:val="00E10427"/>
    <w:rsid w:val="00E11825"/>
    <w:rsid w:val="00E122BD"/>
    <w:rsid w:val="00E16F47"/>
    <w:rsid w:val="00E171FB"/>
    <w:rsid w:val="00E177DE"/>
    <w:rsid w:val="00E21332"/>
    <w:rsid w:val="00E2682A"/>
    <w:rsid w:val="00E26911"/>
    <w:rsid w:val="00E324D2"/>
    <w:rsid w:val="00E53580"/>
    <w:rsid w:val="00E538CA"/>
    <w:rsid w:val="00E5653F"/>
    <w:rsid w:val="00E60315"/>
    <w:rsid w:val="00E628A3"/>
    <w:rsid w:val="00E73552"/>
    <w:rsid w:val="00E73D26"/>
    <w:rsid w:val="00E8143C"/>
    <w:rsid w:val="00E93246"/>
    <w:rsid w:val="00E93B8F"/>
    <w:rsid w:val="00EA6047"/>
    <w:rsid w:val="00EA6656"/>
    <w:rsid w:val="00EA7543"/>
    <w:rsid w:val="00EB032C"/>
    <w:rsid w:val="00EB1500"/>
    <w:rsid w:val="00EB4876"/>
    <w:rsid w:val="00EB4EBC"/>
    <w:rsid w:val="00EB73E4"/>
    <w:rsid w:val="00EC0880"/>
    <w:rsid w:val="00EC217E"/>
    <w:rsid w:val="00EC6CA5"/>
    <w:rsid w:val="00ED701C"/>
    <w:rsid w:val="00ED7049"/>
    <w:rsid w:val="00EE16BA"/>
    <w:rsid w:val="00EE6D01"/>
    <w:rsid w:val="00F0245E"/>
    <w:rsid w:val="00F02D7D"/>
    <w:rsid w:val="00F07BFE"/>
    <w:rsid w:val="00F106C0"/>
    <w:rsid w:val="00F12A10"/>
    <w:rsid w:val="00F14E5C"/>
    <w:rsid w:val="00F22251"/>
    <w:rsid w:val="00F25316"/>
    <w:rsid w:val="00F2661B"/>
    <w:rsid w:val="00F33748"/>
    <w:rsid w:val="00F35C24"/>
    <w:rsid w:val="00F3668E"/>
    <w:rsid w:val="00F463DC"/>
    <w:rsid w:val="00F640D9"/>
    <w:rsid w:val="00F670DA"/>
    <w:rsid w:val="00F70187"/>
    <w:rsid w:val="00F721C9"/>
    <w:rsid w:val="00F74BB6"/>
    <w:rsid w:val="00F76866"/>
    <w:rsid w:val="00F8013B"/>
    <w:rsid w:val="00F837A5"/>
    <w:rsid w:val="00F96E65"/>
    <w:rsid w:val="00FB24A7"/>
    <w:rsid w:val="00FB391E"/>
    <w:rsid w:val="00FC1D38"/>
    <w:rsid w:val="00FC2455"/>
    <w:rsid w:val="00FC3200"/>
    <w:rsid w:val="00FC7650"/>
    <w:rsid w:val="00FD5AC0"/>
    <w:rsid w:val="00FD7437"/>
    <w:rsid w:val="00FE5C75"/>
    <w:rsid w:val="00FE670C"/>
    <w:rsid w:val="00FF4B97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933CAC"/>
  <w15:docId w15:val="{698A0DC5-CC24-462B-B9EB-8F2216CF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E65"/>
  </w:style>
  <w:style w:type="paragraph" w:styleId="Titre1">
    <w:name w:val="heading 1"/>
    <w:basedOn w:val="Normal"/>
    <w:next w:val="Normal"/>
    <w:link w:val="Titre1Car"/>
    <w:uiPriority w:val="9"/>
    <w:qFormat/>
    <w:rsid w:val="0099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4E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08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A5C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92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E122BD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C54E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222F"/>
  </w:style>
  <w:style w:type="paragraph" w:styleId="Pieddepage">
    <w:name w:val="footer"/>
    <w:basedOn w:val="Normal"/>
    <w:link w:val="PieddepageCar"/>
    <w:uiPriority w:val="99"/>
    <w:unhideWhenUsed/>
    <w:rsid w:val="0000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222F"/>
  </w:style>
  <w:style w:type="paragraph" w:styleId="Titre">
    <w:name w:val="Title"/>
    <w:basedOn w:val="Normal"/>
    <w:next w:val="Normal"/>
    <w:link w:val="TitreCar"/>
    <w:uiPriority w:val="10"/>
    <w:qFormat/>
    <w:rsid w:val="0000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02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222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222F"/>
    <w:rPr>
      <w:i/>
      <w:iCs/>
      <w:color w:val="5B9BD5" w:themeColor="accent1"/>
    </w:rPr>
  </w:style>
  <w:style w:type="character" w:styleId="Emphaseple">
    <w:name w:val="Subtle Emphasis"/>
    <w:basedOn w:val="Policepardfaut"/>
    <w:uiPriority w:val="19"/>
    <w:qFormat/>
    <w:rsid w:val="0000222F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285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96FF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224A7"/>
    <w:rPr>
      <w:color w:val="808080"/>
      <w:shd w:val="clear" w:color="auto" w:fill="E6E6E6"/>
    </w:rPr>
  </w:style>
  <w:style w:type="character" w:customStyle="1" w:styleId="Titre4Car">
    <w:name w:val="Titre 4 Car"/>
    <w:basedOn w:val="Policepardfaut"/>
    <w:link w:val="Titre4"/>
    <w:uiPriority w:val="9"/>
    <w:rsid w:val="00CA08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7A5C14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A76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A76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A762F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02"/>
    <w:rPr>
      <w:rFonts w:ascii="Segoe UI" w:hAnsi="Segoe UI" w:cs="Segoe UI"/>
      <w:sz w:val="18"/>
      <w:szCs w:val="18"/>
    </w:rPr>
  </w:style>
  <w:style w:type="paragraph" w:styleId="Sansinterligne">
    <w:name w:val="No Spacing"/>
    <w:uiPriority w:val="1"/>
    <w:qFormat/>
    <w:rsid w:val="00863DDD"/>
    <w:pPr>
      <w:spacing w:after="0" w:line="240" w:lineRule="auto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090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hyperlink" Target="https://knowledge.exlibrisgroup.com/Alma/Release_Notes/2020/Alma_2020_Release_Notes?mon=202008BASE" TargetMode="Externa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140EDFA42749DCA90E4D7A91410D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CA7C54-56E8-423A-BD2E-5E39C7B3D838}"/>
      </w:docPartPr>
      <w:docPartBody>
        <w:p w:rsidR="006E63FF" w:rsidRDefault="006E63FF" w:rsidP="006E63FF">
          <w:pPr>
            <w:pStyle w:val="1F140EDFA42749DCA90E4D7A91410D16"/>
          </w:pPr>
          <w:r>
            <w:rPr>
              <w:color w:val="5B9BD5" w:themeColor="accent1"/>
              <w:sz w:val="20"/>
              <w:szCs w:val="20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FF"/>
    <w:rsid w:val="001D43AB"/>
    <w:rsid w:val="00253EAA"/>
    <w:rsid w:val="003942C8"/>
    <w:rsid w:val="003C51E5"/>
    <w:rsid w:val="006E63FF"/>
    <w:rsid w:val="006E761A"/>
    <w:rsid w:val="008F5EF0"/>
    <w:rsid w:val="00B20AE5"/>
    <w:rsid w:val="00E22BFD"/>
    <w:rsid w:val="00E32E7A"/>
    <w:rsid w:val="00ED703A"/>
    <w:rsid w:val="00F0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45C7CAF90648A9B5CE41C5832E3BAA">
    <w:name w:val="A645C7CAF90648A9B5CE41C5832E3BAA"/>
    <w:rsid w:val="006E63FF"/>
  </w:style>
  <w:style w:type="paragraph" w:customStyle="1" w:styleId="1F140EDFA42749DCA90E4D7A91410D16">
    <w:name w:val="1F140EDFA42749DCA90E4D7A91410D16"/>
    <w:rsid w:val="006E6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79121-4E85-4835-9EB7-8CF7087DD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1113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de version Alma – Juillet 2020</vt:lpstr>
    </vt:vector>
  </TitlesOfParts>
  <Company>Microsoft</Company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version Alma – Août 2020</dc:title>
  <dc:subject/>
  <dc:creator>Loïc Ducasse</dc:creator>
  <cp:keywords/>
  <dc:description/>
  <cp:lastModifiedBy>Loic Ducasse</cp:lastModifiedBy>
  <cp:revision>11</cp:revision>
  <dcterms:created xsi:type="dcterms:W3CDTF">2020-07-23T14:07:00Z</dcterms:created>
  <dcterms:modified xsi:type="dcterms:W3CDTF">2020-07-23T15:01:00Z</dcterms:modified>
</cp:coreProperties>
</file>