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r>
        <w:rPr>
          <w:rStyle w:val="Emphaseple"/>
          <w:b/>
          <w:sz w:val="56"/>
        </w:rPr>
        <w:t>Note de version Alma –</w:t>
      </w:r>
      <w:r w:rsidR="00B62FD4">
        <w:rPr>
          <w:rStyle w:val="Emphaseple"/>
          <w:b/>
          <w:sz w:val="56"/>
        </w:rPr>
        <w:t xml:space="preserve">  </w:t>
      </w:r>
    </w:p>
    <w:p w14:paraId="34D27549" w14:textId="01476BF2" w:rsidR="009922B4" w:rsidRPr="0000222F" w:rsidRDefault="00344DEC" w:rsidP="0000222F">
      <w:pPr>
        <w:pStyle w:val="Citationintense"/>
        <w:rPr>
          <w:rStyle w:val="Emphaseple"/>
          <w:b/>
          <w:sz w:val="56"/>
        </w:rPr>
      </w:pPr>
      <w:r>
        <w:rPr>
          <w:rStyle w:val="Emphaseple"/>
          <w:b/>
          <w:sz w:val="56"/>
        </w:rPr>
        <w:t>Premier trimestre 2023</w:t>
      </w:r>
    </w:p>
    <w:p w14:paraId="08EA3FC0" w14:textId="77777777" w:rsidR="004B003B" w:rsidRDefault="004B003B" w:rsidP="004B003B"/>
    <w:p w14:paraId="6F6F19BE" w14:textId="35F61244" w:rsidR="003C33C9" w:rsidRDefault="009868D5" w:rsidP="008262BD">
      <w:pPr>
        <w:jc w:val="both"/>
      </w:pPr>
      <w:r w:rsidRPr="00270474">
        <w:rPr>
          <w:rFonts w:ascii="Helvetica" w:hAnsi="Helvetica" w:cs="Helvetica"/>
          <w:sz w:val="16"/>
          <w:szCs w:val="16"/>
        </w:rPr>
        <w:t>Source :</w:t>
      </w:r>
      <w:bookmarkStart w:id="1" w:name="_Hlk37951315"/>
      <w:r w:rsidR="003C33C9">
        <w:rPr>
          <w:rFonts w:ascii="Helvetica" w:hAnsi="Helvetica" w:cs="Helvetica"/>
          <w:sz w:val="16"/>
          <w:szCs w:val="16"/>
        </w:rPr>
        <w:t xml:space="preserve"> </w:t>
      </w:r>
      <w:hyperlink r:id="rId8" w:history="1">
        <w:r w:rsidR="007F76A8" w:rsidRPr="00FF6BE2">
          <w:rPr>
            <w:rStyle w:val="Lienhypertexte"/>
            <w:sz w:val="18"/>
            <w:szCs w:val="18"/>
          </w:rPr>
          <w:t>https://knowledge.exlibrisgroup.com/Alma/Release_Notes/2022/Alma_2023_Release_Notes?mon=202302BASE</w:t>
        </w:r>
      </w:hyperlink>
    </w:p>
    <w:p w14:paraId="2829D917" w14:textId="77777777" w:rsidR="00D065E8" w:rsidRDefault="00D065E8" w:rsidP="008262BD">
      <w:pPr>
        <w:jc w:val="both"/>
        <w:rPr>
          <w:rStyle w:val="Lienhypertexte"/>
          <w:sz w:val="18"/>
          <w:szCs w:val="18"/>
        </w:rPr>
      </w:pPr>
    </w:p>
    <w:bookmarkEnd w:id="0"/>
    <w:bookmarkEnd w:id="1"/>
    <w:p w14:paraId="319CD436" w14:textId="638D5AB5" w:rsidR="00AE5827" w:rsidRDefault="00AE5827" w:rsidP="00AE5827">
      <w:pPr>
        <w:keepNext/>
        <w:keepLines/>
        <w:spacing w:before="240" w:after="0"/>
        <w:jc w:val="both"/>
        <w:outlineLvl w:val="0"/>
        <w:rPr>
          <w:rFonts w:eastAsiaTheme="majorEastAsia" w:cstheme="majorBidi"/>
          <w:sz w:val="40"/>
          <w:szCs w:val="32"/>
        </w:rPr>
      </w:pPr>
      <w:r>
        <w:rPr>
          <w:rFonts w:eastAsiaTheme="majorEastAsia" w:cstheme="majorBidi"/>
          <w:sz w:val="40"/>
          <w:szCs w:val="32"/>
        </w:rPr>
        <w:t>Administration</w:t>
      </w:r>
    </w:p>
    <w:p w14:paraId="6885EC76" w14:textId="55153002" w:rsidR="00AE5827" w:rsidRPr="00852F4F" w:rsidRDefault="003A43D5" w:rsidP="00AE5827">
      <w:pPr>
        <w:jc w:val="both"/>
        <w:rPr>
          <w:rFonts w:eastAsia="Times New Roman" w:cstheme="minorHAnsi"/>
          <w:color w:val="000000"/>
          <w:sz w:val="32"/>
          <w:szCs w:val="32"/>
          <w:lang w:eastAsia="fr-FR"/>
        </w:rPr>
      </w:pPr>
      <w:r>
        <w:rPr>
          <w:rFonts w:eastAsia="Times New Roman" w:cstheme="minorHAnsi"/>
          <w:color w:val="000000"/>
          <w:sz w:val="32"/>
          <w:szCs w:val="32"/>
          <w:lang w:eastAsia="fr-FR"/>
        </w:rPr>
        <w:t>Possibilité de rechercher dans les critères de pré-recherche</w:t>
      </w:r>
    </w:p>
    <w:p w14:paraId="246F4398" w14:textId="389648D9" w:rsidR="003F4F09" w:rsidRDefault="003A43D5"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Les critères de pré-recherche permettent de déterminer le type de résultats que l’on souhaite afficher. Il est désormais possible de les rechercher sur leurs intitulés. </w:t>
      </w:r>
    </w:p>
    <w:p w14:paraId="78757A74" w14:textId="6D9C5182" w:rsidR="003A43D5" w:rsidRPr="00214F93" w:rsidRDefault="003A43D5" w:rsidP="00214F93">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0EFE18A" wp14:editId="2832EECF">
            <wp:extent cx="5760720" cy="1826895"/>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pera Instantané_2023-01-24_141547_univ-toulouse-psb.alma.exlibrisgroup.com.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826895"/>
                    </a:xfrm>
                    <a:prstGeom prst="rect">
                      <a:avLst/>
                    </a:prstGeom>
                  </pic:spPr>
                </pic:pic>
              </a:graphicData>
            </a:graphic>
          </wp:inline>
        </w:drawing>
      </w:r>
    </w:p>
    <w:p w14:paraId="7900AFFC" w14:textId="77777777" w:rsidR="006F00A5" w:rsidRDefault="006F00A5" w:rsidP="006F00A5">
      <w:pPr>
        <w:jc w:val="both"/>
        <w:rPr>
          <w:rFonts w:ascii="Helvetica" w:hAnsi="Helvetica"/>
          <w:sz w:val="20"/>
          <w:szCs w:val="20"/>
        </w:rPr>
      </w:pPr>
    </w:p>
    <w:p w14:paraId="668F0487" w14:textId="14BC4EA7" w:rsidR="00645A3A" w:rsidRDefault="00645A3A" w:rsidP="004B0965">
      <w:pPr>
        <w:jc w:val="both"/>
        <w:rPr>
          <w:rFonts w:ascii="Helvetica" w:hAnsi="Helvetica"/>
          <w:sz w:val="20"/>
          <w:szCs w:val="20"/>
        </w:rPr>
      </w:pPr>
      <w:r>
        <w:rPr>
          <w:rFonts w:ascii="Helvetica" w:hAnsi="Helvetica"/>
          <w:sz w:val="20"/>
          <w:szCs w:val="20"/>
        </w:rPr>
        <w:t xml:space="preserve"> </w:t>
      </w:r>
    </w:p>
    <w:p w14:paraId="1729B0E5" w14:textId="4094EC36" w:rsidR="00C335FC" w:rsidRPr="00852F4F" w:rsidRDefault="00C335FC" w:rsidP="00C335FC">
      <w:pPr>
        <w:jc w:val="both"/>
        <w:rPr>
          <w:rFonts w:eastAsia="Times New Roman" w:cstheme="minorHAnsi"/>
          <w:color w:val="000000"/>
          <w:sz w:val="32"/>
          <w:szCs w:val="32"/>
          <w:lang w:eastAsia="fr-FR"/>
        </w:rPr>
      </w:pPr>
      <w:r>
        <w:rPr>
          <w:rFonts w:eastAsia="Times New Roman" w:cstheme="minorHAnsi"/>
          <w:color w:val="000000"/>
          <w:sz w:val="32"/>
          <w:szCs w:val="32"/>
          <w:lang w:eastAsia="fr-FR"/>
        </w:rPr>
        <w:t>Règles de sécurité relatives aux API</w:t>
      </w:r>
    </w:p>
    <w:p w14:paraId="3573FEB5" w14:textId="281BFDC1" w:rsidR="00C335FC" w:rsidRDefault="00C335FC"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Lorsqu’une clé d’API est créée, il est désormais possible de lui associer plusieurs plages d’adresses IP autorisées, et non une seule IP ou une seule plage d’IP comme c’était le cas jusqu’à présent. </w:t>
      </w:r>
    </w:p>
    <w:p w14:paraId="172219F6" w14:textId="58908952" w:rsidR="00C335FC" w:rsidRDefault="00C335FC" w:rsidP="004B0965">
      <w:pPr>
        <w:jc w:val="both"/>
        <w:rPr>
          <w:rFonts w:ascii="Helvetica" w:hAnsi="Helvetica"/>
          <w:sz w:val="20"/>
          <w:szCs w:val="20"/>
        </w:rPr>
      </w:pPr>
    </w:p>
    <w:p w14:paraId="0CE3C944" w14:textId="3C4A3EE7" w:rsidR="00BB16CA" w:rsidRPr="00852F4F" w:rsidRDefault="00BB16CA" w:rsidP="00BB16CA">
      <w:pPr>
        <w:jc w:val="both"/>
        <w:rPr>
          <w:rFonts w:eastAsia="Times New Roman" w:cstheme="minorHAnsi"/>
          <w:color w:val="000000"/>
          <w:sz w:val="32"/>
          <w:szCs w:val="32"/>
          <w:lang w:eastAsia="fr-FR"/>
        </w:rPr>
      </w:pPr>
      <w:r>
        <w:rPr>
          <w:rFonts w:eastAsia="Times New Roman" w:cstheme="minorHAnsi"/>
          <w:color w:val="000000"/>
          <w:sz w:val="32"/>
          <w:szCs w:val="32"/>
          <w:lang w:eastAsia="fr-FR"/>
        </w:rPr>
        <w:t>Mise à jour de l’API PO Lines</w:t>
      </w:r>
    </w:p>
    <w:p w14:paraId="19ACF745" w14:textId="0F98B340" w:rsidR="00BB16CA" w:rsidRDefault="00BB16CA" w:rsidP="00BB16CA">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 </w:t>
      </w:r>
      <w:proofErr w:type="gramStart"/>
      <w:r>
        <w:rPr>
          <w:rFonts w:ascii="Helvetica" w:eastAsia="Times New Roman" w:hAnsi="Helvetica" w:cs="Helvetica"/>
          <w:color w:val="000000"/>
          <w:sz w:val="20"/>
          <w:szCs w:val="20"/>
          <w:lang w:eastAsia="fr-FR"/>
        </w:rPr>
        <w:t xml:space="preserve">champ  </w:t>
      </w:r>
      <w:proofErr w:type="spellStart"/>
      <w:r w:rsidRPr="00BB16CA">
        <w:rPr>
          <w:rFonts w:ascii="Helvetica" w:eastAsia="Times New Roman" w:hAnsi="Helvetica" w:cs="Helvetica"/>
          <w:color w:val="000000"/>
          <w:sz w:val="20"/>
          <w:szCs w:val="20"/>
          <w:lang w:eastAsia="fr-FR"/>
        </w:rPr>
        <w:t>vendor</w:t>
      </w:r>
      <w:proofErr w:type="gramEnd"/>
      <w:r w:rsidRPr="00BB16CA">
        <w:rPr>
          <w:rFonts w:ascii="Helvetica" w:eastAsia="Times New Roman" w:hAnsi="Helvetica" w:cs="Helvetica"/>
          <w:color w:val="000000"/>
          <w:sz w:val="20"/>
          <w:szCs w:val="20"/>
          <w:lang w:eastAsia="fr-FR"/>
        </w:rPr>
        <w:t>_reference_number_type</w:t>
      </w:r>
      <w:proofErr w:type="spellEnd"/>
      <w:r>
        <w:rPr>
          <w:rFonts w:ascii="Helvetica" w:eastAsia="Times New Roman" w:hAnsi="Helvetica" w:cs="Helvetica"/>
          <w:color w:val="000000"/>
          <w:sz w:val="20"/>
          <w:szCs w:val="20"/>
          <w:lang w:eastAsia="fr-FR"/>
        </w:rPr>
        <w:t xml:space="preserve"> peut désormais être mis à jour à l’aide de cette API/ </w:t>
      </w:r>
    </w:p>
    <w:p w14:paraId="43C7BD75" w14:textId="77777777" w:rsidR="00BB16CA" w:rsidRDefault="00BB16CA" w:rsidP="004B0965">
      <w:pPr>
        <w:jc w:val="both"/>
        <w:rPr>
          <w:rFonts w:ascii="Helvetica" w:hAnsi="Helvetica"/>
          <w:sz w:val="20"/>
          <w:szCs w:val="20"/>
        </w:rPr>
      </w:pPr>
    </w:p>
    <w:p w14:paraId="0C3BB31F" w14:textId="1B2109DC" w:rsidR="00FD136C" w:rsidRDefault="00FD136C">
      <w:pPr>
        <w:rPr>
          <w:rFonts w:ascii="Helvetica" w:hAnsi="Helvetica"/>
          <w:sz w:val="20"/>
          <w:szCs w:val="20"/>
        </w:rPr>
      </w:pPr>
      <w:r>
        <w:rPr>
          <w:rFonts w:ascii="Helvetica" w:hAnsi="Helvetica"/>
          <w:sz w:val="20"/>
          <w:szCs w:val="20"/>
        </w:rPr>
        <w:br w:type="page"/>
      </w:r>
    </w:p>
    <w:p w14:paraId="313F111A" w14:textId="47E04BD0" w:rsidR="00FD136C" w:rsidRDefault="00FD136C" w:rsidP="00FD136C">
      <w:pPr>
        <w:keepNext/>
        <w:keepLines/>
        <w:spacing w:before="240" w:after="0"/>
        <w:jc w:val="both"/>
        <w:outlineLvl w:val="0"/>
        <w:rPr>
          <w:rFonts w:eastAsiaTheme="majorEastAsia" w:cstheme="majorBidi"/>
          <w:sz w:val="40"/>
          <w:szCs w:val="32"/>
        </w:rPr>
      </w:pPr>
      <w:r>
        <w:rPr>
          <w:rFonts w:eastAsiaTheme="majorEastAsia" w:cstheme="majorBidi"/>
          <w:sz w:val="40"/>
          <w:szCs w:val="32"/>
        </w:rPr>
        <w:lastRenderedPageBreak/>
        <w:t>Gestion des données</w:t>
      </w:r>
    </w:p>
    <w:p w14:paraId="5B7FD01C" w14:textId="16897E50" w:rsidR="00FD136C" w:rsidRPr="00852F4F" w:rsidRDefault="00FD136C" w:rsidP="00FD136C">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Nouveaux raccourcis clavier</w:t>
      </w:r>
    </w:p>
    <w:p w14:paraId="515FAED1" w14:textId="67E8B6A8" w:rsidR="00FD136C" w:rsidRDefault="00FD136C"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L’éditeur de métadonnées supporte de nouveaux raccourcis clavier pour l’ouverture de ses menus principaux : </w:t>
      </w:r>
    </w:p>
    <w:p w14:paraId="61708519" w14:textId="07EDDAE9" w:rsidR="00FD136C" w:rsidRDefault="00FD136C" w:rsidP="00FD136C">
      <w:pPr>
        <w:pStyle w:val="Paragraphedeliste"/>
        <w:numPr>
          <w:ilvl w:val="0"/>
          <w:numId w:val="47"/>
        </w:num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Alt +1 : ouverture du menu Notices</w:t>
      </w:r>
    </w:p>
    <w:p w14:paraId="4AF3BFDC" w14:textId="62D5798A" w:rsidR="00FD136C" w:rsidRDefault="00FD136C" w:rsidP="00FD136C">
      <w:pPr>
        <w:pStyle w:val="Paragraphedeliste"/>
        <w:numPr>
          <w:ilvl w:val="0"/>
          <w:numId w:val="47"/>
        </w:num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Alt + 2 : ouverture du menu Modèles</w:t>
      </w:r>
    </w:p>
    <w:p w14:paraId="32A47E3F" w14:textId="5573D99C" w:rsidR="00FD136C" w:rsidRDefault="00FD136C" w:rsidP="00FD136C">
      <w:pPr>
        <w:pStyle w:val="Paragraphedeliste"/>
        <w:numPr>
          <w:ilvl w:val="0"/>
          <w:numId w:val="47"/>
        </w:num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Alt + 3 : ouverture du menu Règles</w:t>
      </w:r>
    </w:p>
    <w:p w14:paraId="58700CF6" w14:textId="6AA49F39" w:rsidR="00FD136C" w:rsidRDefault="00FD136C" w:rsidP="00FD136C">
      <w:pPr>
        <w:pStyle w:val="Paragraphedeliste"/>
        <w:numPr>
          <w:ilvl w:val="0"/>
          <w:numId w:val="47"/>
        </w:num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Etc. </w:t>
      </w:r>
    </w:p>
    <w:p w14:paraId="487D2D17" w14:textId="5599C289" w:rsidR="00FD136C" w:rsidRPr="00FD136C" w:rsidRDefault="00FD136C" w:rsidP="00FD136C">
      <w:pPr>
        <w:ind w:left="-709"/>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06C8D7DE" wp14:editId="5B4A8339">
            <wp:extent cx="6581775" cy="20955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era Instantané_2023-01-24_123056_univ-toulouse-psb.alma.exlibrisgroup.com.png"/>
                    <pic:cNvPicPr/>
                  </pic:nvPicPr>
                  <pic:blipFill>
                    <a:blip r:embed="rId10">
                      <a:extLst>
                        <a:ext uri="{28A0092B-C50C-407E-A947-70E740481C1C}">
                          <a14:useLocalDpi xmlns:a14="http://schemas.microsoft.com/office/drawing/2010/main" val="0"/>
                        </a:ext>
                      </a:extLst>
                    </a:blip>
                    <a:stretch>
                      <a:fillRect/>
                    </a:stretch>
                  </pic:blipFill>
                  <pic:spPr>
                    <a:xfrm>
                      <a:off x="0" y="0"/>
                      <a:ext cx="6581775" cy="2095500"/>
                    </a:xfrm>
                    <a:prstGeom prst="rect">
                      <a:avLst/>
                    </a:prstGeom>
                  </pic:spPr>
                </pic:pic>
              </a:graphicData>
            </a:graphic>
          </wp:inline>
        </w:drawing>
      </w:r>
    </w:p>
    <w:p w14:paraId="5D84000E" w14:textId="559F5BA1" w:rsidR="00FD136C" w:rsidRDefault="00FD136C" w:rsidP="004B0965">
      <w:pPr>
        <w:jc w:val="both"/>
        <w:rPr>
          <w:rFonts w:ascii="Helvetica" w:hAnsi="Helvetica"/>
          <w:sz w:val="20"/>
          <w:szCs w:val="20"/>
        </w:rPr>
      </w:pPr>
      <w:r>
        <w:rPr>
          <w:rFonts w:ascii="Helvetica" w:hAnsi="Helvetica"/>
          <w:sz w:val="20"/>
          <w:szCs w:val="20"/>
        </w:rPr>
        <w:t xml:space="preserve">La navigation au clavier est également possible (flèches Bas/Haut et touche Entrée). </w:t>
      </w:r>
    </w:p>
    <w:p w14:paraId="5D8B10D2" w14:textId="27C31B5A" w:rsidR="004E4094" w:rsidRDefault="004E4094" w:rsidP="004B0965">
      <w:pPr>
        <w:jc w:val="both"/>
        <w:rPr>
          <w:rFonts w:ascii="Helvetica" w:hAnsi="Helvetica"/>
          <w:sz w:val="20"/>
          <w:szCs w:val="20"/>
        </w:rPr>
      </w:pPr>
    </w:p>
    <w:p w14:paraId="02FD25EA" w14:textId="7BA8DD0F" w:rsidR="004E4094" w:rsidRDefault="004E4094" w:rsidP="004B0965">
      <w:pPr>
        <w:jc w:val="both"/>
        <w:rPr>
          <w:rFonts w:ascii="Helvetica" w:hAnsi="Helvetica"/>
          <w:sz w:val="20"/>
          <w:szCs w:val="20"/>
        </w:rPr>
      </w:pPr>
    </w:p>
    <w:p w14:paraId="3D718B92" w14:textId="6D834D13" w:rsidR="004E4094" w:rsidRPr="00852F4F" w:rsidRDefault="004E4094" w:rsidP="004E4094">
      <w:pPr>
        <w:jc w:val="both"/>
        <w:rPr>
          <w:rFonts w:eastAsia="Times New Roman" w:cstheme="minorHAnsi"/>
          <w:color w:val="000000"/>
          <w:sz w:val="32"/>
          <w:szCs w:val="32"/>
          <w:lang w:eastAsia="fr-FR"/>
        </w:rPr>
      </w:pPr>
      <w:r>
        <w:rPr>
          <w:rFonts w:eastAsia="Times New Roman" w:cstheme="minorHAnsi"/>
          <w:color w:val="000000"/>
          <w:sz w:val="32"/>
          <w:szCs w:val="32"/>
          <w:lang w:eastAsia="fr-FR"/>
        </w:rPr>
        <w:t>Recherche de ressources externes</w:t>
      </w:r>
    </w:p>
    <w:p w14:paraId="183588A7" w14:textId="651101F5" w:rsidR="004E4094" w:rsidRDefault="004E4094"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L’ajout d’une ressource externe (table </w:t>
      </w:r>
      <w:r w:rsidRPr="004E4094">
        <w:rPr>
          <w:rFonts w:ascii="Helvetica" w:eastAsia="Times New Roman" w:hAnsi="Helvetica" w:cs="Helvetica"/>
          <w:color w:val="000000"/>
          <w:sz w:val="20"/>
          <w:szCs w:val="20"/>
          <w:lang w:eastAsia="fr-FR"/>
        </w:rPr>
        <w:t>Ressources de recherche externe</w:t>
      </w:r>
      <w:r>
        <w:rPr>
          <w:rFonts w:ascii="Helvetica" w:eastAsia="Times New Roman" w:hAnsi="Helvetica" w:cs="Helvetica"/>
          <w:color w:val="000000"/>
          <w:sz w:val="20"/>
          <w:szCs w:val="20"/>
          <w:lang w:eastAsia="fr-FR"/>
        </w:rPr>
        <w:t xml:space="preserve"> -&gt; Ajouter une ressource externe) était lancé à partir d’une recherche, comme dans la capture suivante. </w:t>
      </w:r>
    </w:p>
    <w:p w14:paraId="6123297E" w14:textId="72A42693" w:rsidR="004E4094" w:rsidRDefault="004E4094" w:rsidP="004E4094">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1E68C546" wp14:editId="6B2D6743">
            <wp:extent cx="5760720" cy="12852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ra Instantané_2023-01-24_123527_univ-toulouse.alma.exlibrisgroup.c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inline>
        </w:drawing>
      </w:r>
    </w:p>
    <w:p w14:paraId="1BC37CBF" w14:textId="228A3EE9" w:rsidR="004E4094" w:rsidRDefault="004E4094" w:rsidP="004E4094">
      <w:pPr>
        <w:jc w:val="both"/>
        <w:rPr>
          <w:rFonts w:ascii="Helvetica" w:eastAsia="Times New Roman" w:hAnsi="Helvetica" w:cs="Helvetica"/>
          <w:color w:val="000000"/>
          <w:sz w:val="20"/>
          <w:szCs w:val="20"/>
          <w:lang w:eastAsia="fr-FR"/>
        </w:rPr>
      </w:pPr>
    </w:p>
    <w:p w14:paraId="2C9C2AA4" w14:textId="38AAB526" w:rsidR="004E4094" w:rsidRDefault="004E4094" w:rsidP="004E4094">
      <w:pPr>
        <w:jc w:val="both"/>
        <w:rPr>
          <w:rFonts w:ascii="Helvetica" w:hAnsi="Helvetica"/>
          <w:sz w:val="20"/>
          <w:szCs w:val="20"/>
        </w:rPr>
      </w:pPr>
      <w:r>
        <w:rPr>
          <w:rFonts w:ascii="Helvetica" w:eastAsia="Times New Roman" w:hAnsi="Helvetica" w:cs="Helvetica"/>
          <w:color w:val="000000"/>
          <w:sz w:val="20"/>
          <w:szCs w:val="20"/>
          <w:lang w:eastAsia="fr-FR"/>
        </w:rPr>
        <w:t xml:space="preserve">Désormais, la liste des ressources externes disponibles à la sélection est directement affichée. </w:t>
      </w:r>
    </w:p>
    <w:p w14:paraId="075DDF2F" w14:textId="0C5C7E59" w:rsidR="00963CEF" w:rsidRDefault="004E4094" w:rsidP="006F00A5">
      <w:pPr>
        <w:rPr>
          <w:rFonts w:eastAsiaTheme="majorEastAsia" w:cstheme="majorBidi"/>
          <w:sz w:val="40"/>
          <w:szCs w:val="32"/>
        </w:rPr>
      </w:pPr>
      <w:r>
        <w:rPr>
          <w:rFonts w:eastAsiaTheme="majorEastAsia" w:cstheme="majorBidi"/>
          <w:noProof/>
          <w:sz w:val="40"/>
          <w:szCs w:val="32"/>
          <w:lang w:eastAsia="fr-FR"/>
        </w:rPr>
        <w:lastRenderedPageBreak/>
        <w:drawing>
          <wp:inline distT="0" distB="0" distL="0" distR="0" wp14:anchorId="5367C2FF" wp14:editId="4CDC6664">
            <wp:extent cx="5760720" cy="26860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era Instantané_2023-01-24_123548_univ-toulouse-psb.alma.exlibrisgroup.co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686050"/>
                    </a:xfrm>
                    <a:prstGeom prst="rect">
                      <a:avLst/>
                    </a:prstGeom>
                  </pic:spPr>
                </pic:pic>
              </a:graphicData>
            </a:graphic>
          </wp:inline>
        </w:drawing>
      </w:r>
    </w:p>
    <w:p w14:paraId="0C474F05" w14:textId="2A69B221" w:rsidR="00645A3A" w:rsidRDefault="00645A3A">
      <w:pPr>
        <w:rPr>
          <w:rFonts w:ascii="Helvetica" w:eastAsiaTheme="majorEastAsia" w:hAnsi="Helvetica" w:cstheme="majorBidi"/>
          <w:sz w:val="20"/>
          <w:szCs w:val="20"/>
        </w:rPr>
      </w:pPr>
    </w:p>
    <w:p w14:paraId="33E36E09" w14:textId="1778747F" w:rsidR="004E4094" w:rsidRDefault="004E4094">
      <w:pPr>
        <w:rPr>
          <w:rFonts w:ascii="Helvetica" w:eastAsiaTheme="majorEastAsia" w:hAnsi="Helvetica" w:cstheme="majorBidi"/>
          <w:sz w:val="20"/>
          <w:szCs w:val="20"/>
        </w:rPr>
      </w:pPr>
    </w:p>
    <w:p w14:paraId="0232C8CF" w14:textId="3BBAEAF8" w:rsidR="004E4094" w:rsidRPr="00852F4F" w:rsidRDefault="004E4094" w:rsidP="004E4094">
      <w:pPr>
        <w:jc w:val="both"/>
        <w:rPr>
          <w:rFonts w:eastAsia="Times New Roman" w:cstheme="minorHAnsi"/>
          <w:color w:val="000000"/>
          <w:sz w:val="32"/>
          <w:szCs w:val="32"/>
          <w:lang w:eastAsia="fr-FR"/>
        </w:rPr>
      </w:pPr>
      <w:r>
        <w:rPr>
          <w:rFonts w:eastAsia="Times New Roman" w:cstheme="minorHAnsi"/>
          <w:color w:val="000000"/>
          <w:sz w:val="32"/>
          <w:szCs w:val="32"/>
          <w:lang w:eastAsia="fr-FR"/>
        </w:rPr>
        <w:t>Evolution des profils d’importation</w:t>
      </w:r>
    </w:p>
    <w:p w14:paraId="714E4DDE" w14:textId="308D1F79" w:rsidR="004E4094" w:rsidRDefault="004E4094"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Deux modifications sont mises en œuvre sur les profils d’importation avec cette version d’Alma. </w:t>
      </w:r>
    </w:p>
    <w:p w14:paraId="30FD441E" w14:textId="07283605" w:rsidR="004E4094" w:rsidRDefault="004E4094"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 première consiste en la possibilité d’appliquer une règle de normalisation sur les </w:t>
      </w:r>
      <w:r w:rsidR="00C57CF4">
        <w:rPr>
          <w:rFonts w:ascii="Helvetica" w:eastAsia="Times New Roman" w:hAnsi="Helvetica" w:cs="Helvetica"/>
          <w:color w:val="000000"/>
          <w:sz w:val="20"/>
          <w:szCs w:val="20"/>
          <w:lang w:eastAsia="fr-FR"/>
        </w:rPr>
        <w:t xml:space="preserve">champs de données définis pour la création de l’inventaire et/ou de la ligne de commande. </w:t>
      </w:r>
    </w:p>
    <w:p w14:paraId="2CAD09F3" w14:textId="1C6B3521" w:rsidR="00C57CF4" w:rsidRDefault="00C57CF4" w:rsidP="004E4094">
      <w:pPr>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57E1F5AC" wp14:editId="63B6C32E">
            <wp:extent cx="5760720" cy="2616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pera Instantané_2023-01-24_124719_univ-toulouse-psb.alma.exlibrisgroup.com.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616200"/>
                    </a:xfrm>
                    <a:prstGeom prst="rect">
                      <a:avLst/>
                    </a:prstGeom>
                  </pic:spPr>
                </pic:pic>
              </a:graphicData>
            </a:graphic>
          </wp:inline>
        </w:drawing>
      </w:r>
    </w:p>
    <w:p w14:paraId="1745296F" w14:textId="5E80D95B" w:rsidR="00495CBC" w:rsidRDefault="00C57CF4" w:rsidP="00495CB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La seconde consiste en la possibilité de définir le niveau de catalogage</w:t>
      </w:r>
      <w:r w:rsidR="00495CBC">
        <w:rPr>
          <w:rFonts w:ascii="Helvetica" w:eastAsia="Times New Roman" w:hAnsi="Helvetica" w:cs="Helvetica"/>
          <w:color w:val="000000"/>
          <w:sz w:val="20"/>
          <w:szCs w:val="20"/>
          <w:lang w:eastAsia="fr-FR"/>
        </w:rPr>
        <w:t xml:space="preserve"> associé aux notices importées à l’aide du profil. Ce niveau de catalogage permet de restreindre le périmètre des personnes habilitées à intervenir sur ces notices. Les niveaux disponibles se définissent à partir de la table </w:t>
      </w:r>
      <w:r w:rsidR="00495CBC" w:rsidRPr="00495CBC">
        <w:rPr>
          <w:rFonts w:ascii="Helvetica" w:eastAsia="Times New Roman" w:hAnsi="Helvetica" w:cs="Helvetica"/>
          <w:color w:val="000000"/>
          <w:sz w:val="20"/>
          <w:szCs w:val="20"/>
          <w:lang w:eastAsia="fr-FR"/>
        </w:rPr>
        <w:t>Niveau de permission du catalogueur</w:t>
      </w:r>
      <w:r w:rsidR="00495CBC">
        <w:rPr>
          <w:rFonts w:ascii="Helvetica" w:eastAsia="Times New Roman" w:hAnsi="Helvetica" w:cs="Helvetica"/>
          <w:color w:val="000000"/>
          <w:sz w:val="20"/>
          <w:szCs w:val="20"/>
          <w:lang w:eastAsia="fr-FR"/>
        </w:rPr>
        <w:t xml:space="preserve">, puis un niveau est renseigné dans le dossier de chaque catalogueur de l’institution. L’utilisation de cette fonction suppose que l’institution utilise ce mécanisme et ait activé un paramètre général intitulé </w:t>
      </w:r>
      <w:proofErr w:type="spellStart"/>
      <w:r w:rsidR="00495CBC" w:rsidRPr="00495CBC">
        <w:rPr>
          <w:rFonts w:ascii="Helvetica" w:eastAsia="Times New Roman" w:hAnsi="Helvetica" w:cs="Helvetica"/>
          <w:color w:val="000000"/>
          <w:sz w:val="20"/>
          <w:szCs w:val="20"/>
          <w:lang w:eastAsia="fr-FR"/>
        </w:rPr>
        <w:t>cataloging_level_available</w:t>
      </w:r>
      <w:proofErr w:type="spellEnd"/>
      <w:r w:rsidR="00495CBC">
        <w:rPr>
          <w:rFonts w:ascii="Helvetica" w:eastAsia="Times New Roman" w:hAnsi="Helvetica" w:cs="Helvetica"/>
          <w:color w:val="000000"/>
          <w:sz w:val="20"/>
          <w:szCs w:val="20"/>
          <w:lang w:eastAsia="fr-FR"/>
        </w:rPr>
        <w:t xml:space="preserve">.  </w:t>
      </w:r>
    </w:p>
    <w:p w14:paraId="101F6828" w14:textId="397DC052" w:rsidR="00495CBC" w:rsidRDefault="00495CBC" w:rsidP="00495CBC">
      <w:pPr>
        <w:jc w:val="both"/>
        <w:rPr>
          <w:rFonts w:ascii="Helvetica" w:eastAsia="Times New Roman" w:hAnsi="Helvetica" w:cs="Helvetica"/>
          <w:color w:val="000000"/>
          <w:sz w:val="20"/>
          <w:szCs w:val="20"/>
          <w:lang w:eastAsia="fr-FR"/>
        </w:rPr>
      </w:pPr>
    </w:p>
    <w:p w14:paraId="2847CBBA" w14:textId="37178EF7" w:rsidR="00495CBC" w:rsidRDefault="00495CBC" w:rsidP="00495CBC">
      <w:pPr>
        <w:jc w:val="both"/>
        <w:rPr>
          <w:rFonts w:ascii="Helvetica" w:eastAsia="Times New Roman" w:hAnsi="Helvetica" w:cs="Helvetica"/>
          <w:color w:val="000000"/>
          <w:sz w:val="20"/>
          <w:szCs w:val="20"/>
          <w:lang w:eastAsia="fr-FR"/>
        </w:rPr>
      </w:pPr>
    </w:p>
    <w:p w14:paraId="0C5658DF" w14:textId="2E881D9A" w:rsidR="00495CBC" w:rsidRPr="00852F4F" w:rsidRDefault="00495CBC" w:rsidP="00495CBC">
      <w:pPr>
        <w:jc w:val="both"/>
        <w:rPr>
          <w:rFonts w:eastAsia="Times New Roman" w:cstheme="minorHAnsi"/>
          <w:color w:val="000000"/>
          <w:sz w:val="32"/>
          <w:szCs w:val="32"/>
          <w:lang w:eastAsia="fr-FR"/>
        </w:rPr>
      </w:pPr>
      <w:r>
        <w:rPr>
          <w:rFonts w:eastAsia="Times New Roman" w:cstheme="minorHAnsi"/>
          <w:color w:val="000000"/>
          <w:sz w:val="32"/>
          <w:szCs w:val="32"/>
          <w:lang w:eastAsia="fr-FR"/>
        </w:rPr>
        <w:lastRenderedPageBreak/>
        <w:t xml:space="preserve">Mise à jour du format </w:t>
      </w:r>
      <w:proofErr w:type="spellStart"/>
      <w:r>
        <w:rPr>
          <w:rFonts w:eastAsia="Times New Roman" w:cstheme="minorHAnsi"/>
          <w:color w:val="000000"/>
          <w:sz w:val="32"/>
          <w:szCs w:val="32"/>
          <w:lang w:eastAsia="fr-FR"/>
        </w:rPr>
        <w:t>Unimarc</w:t>
      </w:r>
      <w:proofErr w:type="spellEnd"/>
    </w:p>
    <w:p w14:paraId="1DD4584C" w14:textId="1EFA8AB0" w:rsidR="00495CBC" w:rsidRDefault="00495CBC" w:rsidP="00495CB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 format </w:t>
      </w:r>
      <w:proofErr w:type="spellStart"/>
      <w:r>
        <w:rPr>
          <w:rFonts w:ascii="Helvetica" w:eastAsia="Times New Roman" w:hAnsi="Helvetica" w:cs="Helvetica"/>
          <w:color w:val="000000"/>
          <w:sz w:val="20"/>
          <w:szCs w:val="20"/>
          <w:lang w:eastAsia="fr-FR"/>
        </w:rPr>
        <w:t>Unimarc</w:t>
      </w:r>
      <w:proofErr w:type="spellEnd"/>
      <w:r>
        <w:rPr>
          <w:rFonts w:ascii="Helvetica" w:eastAsia="Times New Roman" w:hAnsi="Helvetica" w:cs="Helvetica"/>
          <w:color w:val="000000"/>
          <w:sz w:val="20"/>
          <w:szCs w:val="20"/>
          <w:lang w:eastAsia="fr-FR"/>
        </w:rPr>
        <w:t xml:space="preserve"> a été modifié pour prendre en compte les modifications du format d’échange </w:t>
      </w:r>
      <w:proofErr w:type="spellStart"/>
      <w:r>
        <w:rPr>
          <w:rFonts w:ascii="Helvetica" w:eastAsia="Times New Roman" w:hAnsi="Helvetica" w:cs="Helvetica"/>
          <w:color w:val="000000"/>
          <w:sz w:val="20"/>
          <w:szCs w:val="20"/>
          <w:lang w:eastAsia="fr-FR"/>
        </w:rPr>
        <w:t>Unimarc-Sudoc</w:t>
      </w:r>
      <w:proofErr w:type="spellEnd"/>
      <w:r>
        <w:rPr>
          <w:rFonts w:ascii="Helvetica" w:eastAsia="Times New Roman" w:hAnsi="Helvetica" w:cs="Helvetica"/>
          <w:color w:val="000000"/>
          <w:sz w:val="20"/>
          <w:szCs w:val="20"/>
          <w:lang w:eastAsia="fr-FR"/>
        </w:rPr>
        <w:t xml:space="preserve"> implémentées par l’</w:t>
      </w:r>
      <w:proofErr w:type="spellStart"/>
      <w:r>
        <w:rPr>
          <w:rFonts w:ascii="Helvetica" w:eastAsia="Times New Roman" w:hAnsi="Helvetica" w:cs="Helvetica"/>
          <w:color w:val="000000"/>
          <w:sz w:val="20"/>
          <w:szCs w:val="20"/>
          <w:lang w:eastAsia="fr-FR"/>
        </w:rPr>
        <w:t>Abes</w:t>
      </w:r>
      <w:proofErr w:type="spellEnd"/>
      <w:r>
        <w:rPr>
          <w:rFonts w:ascii="Helvetica" w:eastAsia="Times New Roman" w:hAnsi="Helvetica" w:cs="Helvetica"/>
          <w:color w:val="000000"/>
          <w:sz w:val="20"/>
          <w:szCs w:val="20"/>
          <w:lang w:eastAsia="fr-FR"/>
        </w:rPr>
        <w:t xml:space="preserve"> en </w:t>
      </w:r>
      <w:hyperlink r:id="rId14" w:history="1">
        <w:r w:rsidRPr="00495CBC">
          <w:rPr>
            <w:rStyle w:val="Lienhypertexte"/>
            <w:rFonts w:ascii="Helvetica" w:eastAsia="Times New Roman" w:hAnsi="Helvetica" w:cs="Helvetica"/>
            <w:sz w:val="20"/>
            <w:szCs w:val="20"/>
            <w:lang w:eastAsia="fr-FR"/>
          </w:rPr>
          <w:t>janvier 2023</w:t>
        </w:r>
      </w:hyperlink>
      <w:r>
        <w:rPr>
          <w:rFonts w:ascii="Helvetica" w:eastAsia="Times New Roman" w:hAnsi="Helvetica" w:cs="Helvetica"/>
          <w:color w:val="000000"/>
          <w:sz w:val="20"/>
          <w:szCs w:val="20"/>
          <w:lang w:eastAsia="fr-FR"/>
        </w:rPr>
        <w:t xml:space="preserve">. </w:t>
      </w:r>
    </w:p>
    <w:p w14:paraId="099AE2F0" w14:textId="613C9CC5" w:rsidR="00C57CF4" w:rsidRDefault="00C57CF4" w:rsidP="004E4094">
      <w:pPr>
        <w:jc w:val="both"/>
        <w:rPr>
          <w:rFonts w:ascii="Helvetica" w:eastAsia="Times New Roman" w:hAnsi="Helvetica" w:cs="Helvetica"/>
          <w:color w:val="000000"/>
          <w:sz w:val="20"/>
          <w:szCs w:val="20"/>
          <w:lang w:eastAsia="fr-FR"/>
        </w:rPr>
      </w:pPr>
    </w:p>
    <w:p w14:paraId="0319F87E" w14:textId="52547A5E" w:rsidR="004E4094" w:rsidRDefault="004E4094">
      <w:pPr>
        <w:rPr>
          <w:rFonts w:ascii="Helvetica" w:eastAsiaTheme="majorEastAsia" w:hAnsi="Helvetica" w:cstheme="majorBidi"/>
          <w:sz w:val="20"/>
          <w:szCs w:val="20"/>
        </w:rPr>
      </w:pPr>
    </w:p>
    <w:p w14:paraId="11335971" w14:textId="1E1CE3EE" w:rsidR="001748DB" w:rsidRPr="00852F4F" w:rsidRDefault="001748DB" w:rsidP="001748DB">
      <w:pPr>
        <w:jc w:val="both"/>
        <w:rPr>
          <w:rFonts w:eastAsia="Times New Roman" w:cstheme="minorHAnsi"/>
          <w:color w:val="000000"/>
          <w:sz w:val="32"/>
          <w:szCs w:val="32"/>
          <w:lang w:eastAsia="fr-FR"/>
        </w:rPr>
      </w:pPr>
      <w:r>
        <w:rPr>
          <w:rFonts w:eastAsia="Times New Roman" w:cstheme="minorHAnsi"/>
          <w:color w:val="000000"/>
          <w:sz w:val="32"/>
          <w:szCs w:val="32"/>
          <w:lang w:eastAsia="fr-FR"/>
        </w:rPr>
        <w:t>Flexibilité accrue pour la définition des publications programmées</w:t>
      </w:r>
    </w:p>
    <w:p w14:paraId="0DE7503A" w14:textId="65B67673" w:rsidR="001748DB" w:rsidRDefault="001748DB" w:rsidP="001748DB">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Jusqu’à présent la publication programmée de données était définie sur la base de créneaux prédéfinis. Cette publication peut être désormais définie selon des modalités plus flexibles. </w:t>
      </w:r>
    </w:p>
    <w:p w14:paraId="23EAFC76" w14:textId="4EFBAB4C" w:rsidR="001748DB" w:rsidRPr="004E4094" w:rsidRDefault="001748DB" w:rsidP="001748DB">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27E7722E" wp14:editId="29157C79">
            <wp:extent cx="5760720" cy="2569210"/>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3-01-24_153904.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569210"/>
                    </a:xfrm>
                    <a:prstGeom prst="rect">
                      <a:avLst/>
                    </a:prstGeom>
                  </pic:spPr>
                </pic:pic>
              </a:graphicData>
            </a:graphic>
          </wp:inline>
        </w:drawing>
      </w:r>
    </w:p>
    <w:p w14:paraId="63AE7831" w14:textId="77777777" w:rsidR="004E4094" w:rsidRDefault="004E4094">
      <w:pPr>
        <w:rPr>
          <w:rFonts w:eastAsiaTheme="majorEastAsia" w:cstheme="majorBidi"/>
          <w:sz w:val="40"/>
          <w:szCs w:val="32"/>
        </w:rPr>
      </w:pPr>
      <w:r>
        <w:rPr>
          <w:rFonts w:eastAsiaTheme="majorEastAsia" w:cstheme="majorBidi"/>
          <w:sz w:val="40"/>
          <w:szCs w:val="32"/>
        </w:rPr>
        <w:br w:type="page"/>
      </w:r>
    </w:p>
    <w:p w14:paraId="4EAF16C2" w14:textId="268BFE7B" w:rsidR="00335C64" w:rsidRPr="00E85728" w:rsidRDefault="007F76A8" w:rsidP="00335C64">
      <w:pPr>
        <w:keepNext/>
        <w:keepLines/>
        <w:jc w:val="both"/>
        <w:outlineLvl w:val="0"/>
        <w:rPr>
          <w:rFonts w:eastAsiaTheme="majorEastAsia" w:cstheme="majorBidi"/>
          <w:sz w:val="40"/>
          <w:szCs w:val="32"/>
        </w:rPr>
      </w:pPr>
      <w:r>
        <w:rPr>
          <w:rFonts w:eastAsiaTheme="majorEastAsia" w:cstheme="majorBidi"/>
          <w:sz w:val="40"/>
          <w:szCs w:val="32"/>
        </w:rPr>
        <w:t>Services aux usagers</w:t>
      </w:r>
    </w:p>
    <w:p w14:paraId="1B1258F9" w14:textId="15C0DA5A" w:rsidR="007F76A8" w:rsidRDefault="007F76A8" w:rsidP="007F76A8">
      <w:pPr>
        <w:jc w:val="both"/>
        <w:rPr>
          <w:sz w:val="32"/>
          <w:szCs w:val="32"/>
        </w:rPr>
      </w:pPr>
      <w:r>
        <w:rPr>
          <w:sz w:val="32"/>
          <w:szCs w:val="32"/>
        </w:rPr>
        <w:t>Affinement des règles de circulation</w:t>
      </w:r>
    </w:p>
    <w:p w14:paraId="29EC15B6" w14:textId="5E16F60E" w:rsidR="007F76A8" w:rsidRDefault="007F76A8" w:rsidP="0019280A">
      <w:pPr>
        <w:jc w:val="both"/>
        <w:rPr>
          <w:rFonts w:ascii="Helvetica" w:hAnsi="Helvetica"/>
          <w:sz w:val="20"/>
          <w:szCs w:val="20"/>
        </w:rPr>
      </w:pPr>
      <w:r>
        <w:rPr>
          <w:rFonts w:ascii="Helvetica" w:hAnsi="Helvetica"/>
          <w:sz w:val="20"/>
          <w:szCs w:val="20"/>
        </w:rPr>
        <w:t>Règles de prêt, de renouvellement et de réservations peuvent désormais être définies sur la base des catégories statistiques associées aux dossiers des emprunteurs. Cela signifie, par exemple, qu’une université peut appliquer des durées ou limites de prêt différentes ses étudiants en fonction de leur UFR ou faculté d’appartenance</w:t>
      </w:r>
      <w:r w:rsidR="00786969">
        <w:rPr>
          <w:rFonts w:ascii="Helvetica" w:hAnsi="Helvetica"/>
          <w:sz w:val="20"/>
          <w:szCs w:val="20"/>
        </w:rPr>
        <w:t xml:space="preserve"> (composantes, rangées dans la catégorie statistique n°2)</w:t>
      </w:r>
      <w:r>
        <w:rPr>
          <w:rFonts w:ascii="Helvetica" w:hAnsi="Helvetica"/>
          <w:sz w:val="20"/>
          <w:szCs w:val="20"/>
        </w:rPr>
        <w:t>, ou que les étudiants inscrits dans tel</w:t>
      </w:r>
      <w:r w:rsidR="00786969">
        <w:rPr>
          <w:rFonts w:ascii="Helvetica" w:hAnsi="Helvetica"/>
          <w:sz w:val="20"/>
          <w:szCs w:val="20"/>
        </w:rPr>
        <w:t xml:space="preserve"> diplôme (codes Etape, rangés dans la catégorie statistique n°5) peuvent demander la mise de côté sur place des documents appartenant à une localisation donnée ou porteurs d’une certaine exception de circulation, alors que les autres étudiants de l’établissement ou du réseau ne le peuvent pas. </w:t>
      </w:r>
    </w:p>
    <w:p w14:paraId="026419B1" w14:textId="49A72E5A" w:rsidR="00786969" w:rsidRDefault="00786969" w:rsidP="0019280A">
      <w:pPr>
        <w:jc w:val="both"/>
        <w:rPr>
          <w:rFonts w:ascii="Helvetica" w:hAnsi="Helvetica"/>
          <w:sz w:val="20"/>
          <w:szCs w:val="20"/>
        </w:rPr>
      </w:pPr>
      <w:r>
        <w:rPr>
          <w:rFonts w:ascii="Helvetica" w:hAnsi="Helvetica"/>
          <w:sz w:val="20"/>
          <w:szCs w:val="20"/>
        </w:rPr>
        <w:t xml:space="preserve">La définition des limites de prêt, durées de prêt et de renouvellement et des modalités de réservation peuvent ainsi combiner tout ou partie de ces éléments : </w:t>
      </w:r>
    </w:p>
    <w:p w14:paraId="6109A502" w14:textId="5A16DE10" w:rsidR="007F76A8"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Bibliothèque et localisations de rangement des exemplaires au moment du prêt</w:t>
      </w:r>
    </w:p>
    <w:p w14:paraId="1E86475A" w14:textId="7E59653A"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Exception de circulation</w:t>
      </w:r>
    </w:p>
    <w:p w14:paraId="468D6EA3" w14:textId="6066FDB5"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Type de matériel des exemplaires</w:t>
      </w:r>
    </w:p>
    <w:p w14:paraId="7C89A267" w14:textId="5D15F205"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Types de processus des exemplaires</w:t>
      </w:r>
    </w:p>
    <w:p w14:paraId="6E98ECEE" w14:textId="1D86A561"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Groupes d’usagers des emprunteurs</w:t>
      </w:r>
    </w:p>
    <w:p w14:paraId="59782018" w14:textId="77777777"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Campus des emprunteurs</w:t>
      </w:r>
    </w:p>
    <w:p w14:paraId="1F1B9ADF" w14:textId="5CA0EE73" w:rsidR="00786969" w:rsidRDefault="00786969" w:rsidP="0019280A">
      <w:pPr>
        <w:pStyle w:val="Paragraphedeliste"/>
        <w:numPr>
          <w:ilvl w:val="0"/>
          <w:numId w:val="45"/>
        </w:numPr>
        <w:jc w:val="both"/>
        <w:rPr>
          <w:rFonts w:ascii="Helvetica" w:hAnsi="Helvetica"/>
          <w:sz w:val="20"/>
          <w:szCs w:val="20"/>
        </w:rPr>
      </w:pPr>
      <w:r>
        <w:rPr>
          <w:rFonts w:ascii="Helvetica" w:hAnsi="Helvetica"/>
          <w:sz w:val="20"/>
          <w:szCs w:val="20"/>
        </w:rPr>
        <w:t>Catégories statistiques des emprunteurs</w:t>
      </w:r>
    </w:p>
    <w:p w14:paraId="1968ED29" w14:textId="04F7FB85" w:rsidR="007F76A8" w:rsidRDefault="00786969" w:rsidP="0019280A">
      <w:pPr>
        <w:jc w:val="both"/>
        <w:rPr>
          <w:rFonts w:ascii="Helvetica" w:hAnsi="Helvetica"/>
          <w:sz w:val="20"/>
        </w:rPr>
      </w:pPr>
      <w:r>
        <w:rPr>
          <w:rFonts w:ascii="Helvetica" w:hAnsi="Helvetica"/>
          <w:sz w:val="20"/>
        </w:rPr>
        <w:t xml:space="preserve">Les limites de réservation (nombre maximal de demandes de réservation simultanées) restent définies uniquement au niveau des groupes d’usagers. </w:t>
      </w:r>
    </w:p>
    <w:p w14:paraId="3878D21B" w14:textId="55024C38" w:rsidR="00786969" w:rsidRPr="007F76A8" w:rsidRDefault="00786969" w:rsidP="0019280A">
      <w:pPr>
        <w:jc w:val="both"/>
        <w:rPr>
          <w:rFonts w:ascii="Helvetica" w:hAnsi="Helvetica"/>
          <w:sz w:val="20"/>
        </w:rPr>
      </w:pPr>
      <w:r>
        <w:rPr>
          <w:rFonts w:ascii="Helvetica" w:hAnsi="Helvetica"/>
          <w:sz w:val="20"/>
        </w:rPr>
        <w:t xml:space="preserve">Le recours à une catégorie statistique suppose que cette catégorie statistique est liée à un « type de catégorie statistique » (établissement, filière ou composante, code Etape, année d’étude, type de formation, sexe, nationalité, mais aussi les catégories affectées manuellement, que ce soit aux lecteurs autorisés ou aux lecteurs institutionnels, dans un certain nombre de structures). </w:t>
      </w:r>
    </w:p>
    <w:p w14:paraId="7A101301" w14:textId="3008D779" w:rsidR="007F76A8" w:rsidRDefault="007F76A8" w:rsidP="007F76A8">
      <w:pPr>
        <w:rPr>
          <w:rFonts w:ascii="Helvetica" w:hAnsi="Helvetica"/>
          <w:sz w:val="20"/>
        </w:rPr>
      </w:pPr>
    </w:p>
    <w:p w14:paraId="5E3F0988" w14:textId="77777777" w:rsidR="0019280A" w:rsidRPr="007F76A8" w:rsidRDefault="0019280A" w:rsidP="007F76A8">
      <w:pPr>
        <w:rPr>
          <w:rFonts w:ascii="Helvetica" w:hAnsi="Helvetica"/>
          <w:sz w:val="20"/>
        </w:rPr>
      </w:pPr>
    </w:p>
    <w:p w14:paraId="2E08F628" w14:textId="00B6A622" w:rsidR="00335C64" w:rsidRDefault="007F76A8" w:rsidP="00335C64">
      <w:pPr>
        <w:jc w:val="both"/>
        <w:rPr>
          <w:sz w:val="32"/>
          <w:szCs w:val="32"/>
        </w:rPr>
      </w:pPr>
      <w:r>
        <w:rPr>
          <w:sz w:val="32"/>
          <w:szCs w:val="32"/>
        </w:rPr>
        <w:t>Affinement des règles de renouvellement automatique</w:t>
      </w:r>
    </w:p>
    <w:p w14:paraId="06B6AE33" w14:textId="74013DB4" w:rsidR="00335C64" w:rsidRDefault="007F76A8" w:rsidP="00335C64">
      <w:pPr>
        <w:jc w:val="both"/>
        <w:rPr>
          <w:rFonts w:ascii="Helvetica" w:hAnsi="Helvetica"/>
          <w:sz w:val="20"/>
          <w:szCs w:val="20"/>
        </w:rPr>
      </w:pPr>
      <w:r>
        <w:rPr>
          <w:rFonts w:ascii="Helvetica" w:hAnsi="Helvetica"/>
          <w:sz w:val="20"/>
          <w:szCs w:val="20"/>
        </w:rPr>
        <w:t xml:space="preserve">Jusqu’à présent la fonction de renouvellement automatique était définie au niveau des bibliothèques et, éventuellement, en fonction du groupe d’utilisateurs d’appartenance des emprunteurs. Cette fonction s’appliquait donc de manière indifférenciée sur tous les documents renouvelables d’une même bibliothèque. Désormais, il est possible d’affiner ces règles en s’appuyant : </w:t>
      </w:r>
    </w:p>
    <w:p w14:paraId="6EA91C85" w14:textId="4AB3A389" w:rsidR="007F76A8" w:rsidRDefault="007F76A8" w:rsidP="007F76A8">
      <w:pPr>
        <w:pStyle w:val="Paragraphedeliste"/>
        <w:numPr>
          <w:ilvl w:val="0"/>
          <w:numId w:val="45"/>
        </w:numPr>
        <w:jc w:val="both"/>
        <w:rPr>
          <w:rFonts w:ascii="Helvetica" w:hAnsi="Helvetica"/>
          <w:sz w:val="20"/>
          <w:szCs w:val="20"/>
        </w:rPr>
      </w:pPr>
      <w:r>
        <w:rPr>
          <w:rFonts w:ascii="Helvetica" w:hAnsi="Helvetica"/>
          <w:sz w:val="20"/>
          <w:szCs w:val="20"/>
        </w:rPr>
        <w:t>Sur la localisation de rangement des documents</w:t>
      </w:r>
    </w:p>
    <w:p w14:paraId="68959ADB" w14:textId="0B58926B" w:rsidR="007F76A8" w:rsidRDefault="007F76A8" w:rsidP="007F76A8">
      <w:pPr>
        <w:pStyle w:val="Paragraphedeliste"/>
        <w:numPr>
          <w:ilvl w:val="0"/>
          <w:numId w:val="45"/>
        </w:numPr>
        <w:jc w:val="both"/>
        <w:rPr>
          <w:rFonts w:ascii="Helvetica" w:hAnsi="Helvetica"/>
          <w:sz w:val="20"/>
          <w:szCs w:val="20"/>
        </w:rPr>
      </w:pPr>
      <w:r>
        <w:rPr>
          <w:rFonts w:ascii="Helvetica" w:hAnsi="Helvetica"/>
          <w:sz w:val="20"/>
          <w:szCs w:val="20"/>
        </w:rPr>
        <w:t>Sur la catégorie statistique du lecteur</w:t>
      </w:r>
      <w:r w:rsidR="00786969">
        <w:rPr>
          <w:rFonts w:ascii="Helvetica" w:hAnsi="Helvetica"/>
          <w:sz w:val="20"/>
          <w:szCs w:val="20"/>
        </w:rPr>
        <w:t>, sur le modèle précédemment décrit</w:t>
      </w:r>
    </w:p>
    <w:p w14:paraId="72025DA1" w14:textId="5029B404" w:rsidR="0019280A" w:rsidRDefault="0019280A" w:rsidP="0019280A">
      <w:pPr>
        <w:rPr>
          <w:rFonts w:ascii="Helvetica" w:hAnsi="Helvetica"/>
          <w:sz w:val="20"/>
        </w:rPr>
      </w:pPr>
    </w:p>
    <w:p w14:paraId="6AEBE0E1" w14:textId="77777777" w:rsidR="0019280A" w:rsidRPr="0019280A" w:rsidRDefault="0019280A" w:rsidP="0019280A">
      <w:pPr>
        <w:rPr>
          <w:rFonts w:ascii="Helvetica" w:hAnsi="Helvetica"/>
          <w:sz w:val="20"/>
        </w:rPr>
      </w:pPr>
    </w:p>
    <w:p w14:paraId="5FF5C5E5" w14:textId="3EEDB714" w:rsidR="0019280A" w:rsidRPr="0019280A" w:rsidRDefault="0019280A" w:rsidP="0019280A">
      <w:pPr>
        <w:jc w:val="both"/>
        <w:rPr>
          <w:rFonts w:ascii="Helvetica" w:hAnsi="Helvetica"/>
          <w:sz w:val="20"/>
          <w:szCs w:val="20"/>
        </w:rPr>
      </w:pPr>
      <w:r>
        <w:rPr>
          <w:sz w:val="32"/>
          <w:szCs w:val="32"/>
        </w:rPr>
        <w:t>Personnalisation des motifs d’annulation de réservation</w:t>
      </w:r>
    </w:p>
    <w:p w14:paraId="14268DAA" w14:textId="42F9A382" w:rsidR="0019280A" w:rsidRDefault="0019280A" w:rsidP="0019280A">
      <w:pPr>
        <w:jc w:val="both"/>
        <w:rPr>
          <w:rFonts w:ascii="Helvetica" w:hAnsi="Helvetica"/>
          <w:sz w:val="20"/>
        </w:rPr>
      </w:pPr>
      <w:r>
        <w:rPr>
          <w:rFonts w:ascii="Helvetica" w:hAnsi="Helvetica"/>
          <w:sz w:val="20"/>
        </w:rPr>
        <w:t>Les motifs d’annulation de réservation étaient jusqu’alors fournis par défaut, sans possibilité de modification des libellés. Il est désormais possible</w:t>
      </w:r>
      <w:r w:rsidR="007D5C97">
        <w:rPr>
          <w:rFonts w:ascii="Helvetica" w:hAnsi="Helvetica"/>
          <w:sz w:val="20"/>
        </w:rPr>
        <w:t xml:space="preserve"> : </w:t>
      </w:r>
    </w:p>
    <w:p w14:paraId="7E02834C" w14:textId="60A03AD4" w:rsidR="007D5C97" w:rsidRDefault="007D5C97" w:rsidP="007D5C97">
      <w:pPr>
        <w:pStyle w:val="Paragraphedeliste"/>
        <w:numPr>
          <w:ilvl w:val="0"/>
          <w:numId w:val="46"/>
        </w:numPr>
        <w:jc w:val="both"/>
        <w:rPr>
          <w:rFonts w:ascii="Helvetica" w:hAnsi="Helvetica"/>
          <w:sz w:val="20"/>
        </w:rPr>
      </w:pPr>
      <w:r>
        <w:rPr>
          <w:rFonts w:ascii="Helvetica" w:hAnsi="Helvetica"/>
          <w:sz w:val="20"/>
        </w:rPr>
        <w:t>D’activer ou de désactiver les motifs d’annulation fournis par défaut</w:t>
      </w:r>
    </w:p>
    <w:p w14:paraId="7DFDB220" w14:textId="5B2E3B6D" w:rsidR="007D5C97" w:rsidRDefault="007D5C97" w:rsidP="007D5C97">
      <w:pPr>
        <w:pStyle w:val="Paragraphedeliste"/>
        <w:numPr>
          <w:ilvl w:val="0"/>
          <w:numId w:val="46"/>
        </w:numPr>
        <w:jc w:val="both"/>
        <w:rPr>
          <w:rFonts w:ascii="Helvetica" w:hAnsi="Helvetica"/>
          <w:sz w:val="20"/>
        </w:rPr>
      </w:pPr>
      <w:r>
        <w:rPr>
          <w:rFonts w:ascii="Helvetica" w:hAnsi="Helvetica"/>
          <w:sz w:val="20"/>
        </w:rPr>
        <w:t>De renommer ces mêmes motifs</w:t>
      </w:r>
    </w:p>
    <w:p w14:paraId="17AAB511" w14:textId="5CCD56F6" w:rsidR="007D5C97" w:rsidRPr="007D5C97" w:rsidRDefault="007D5C97" w:rsidP="007D5C97">
      <w:pPr>
        <w:pStyle w:val="Paragraphedeliste"/>
        <w:numPr>
          <w:ilvl w:val="0"/>
          <w:numId w:val="46"/>
        </w:numPr>
        <w:jc w:val="both"/>
        <w:rPr>
          <w:rFonts w:ascii="Helvetica" w:hAnsi="Helvetica"/>
          <w:sz w:val="20"/>
        </w:rPr>
      </w:pPr>
      <w:r>
        <w:rPr>
          <w:rFonts w:ascii="Helvetica" w:hAnsi="Helvetica"/>
          <w:sz w:val="20"/>
        </w:rPr>
        <w:t>D’ajouter des motifs supplémentaires dans une limite de 10</w:t>
      </w:r>
    </w:p>
    <w:p w14:paraId="261565C9" w14:textId="68F2216F" w:rsidR="0019280A" w:rsidRDefault="007D5C97" w:rsidP="0019280A">
      <w:pPr>
        <w:rPr>
          <w:rFonts w:ascii="Helvetica" w:hAnsi="Helvetica"/>
          <w:sz w:val="20"/>
        </w:rPr>
      </w:pPr>
      <w:r>
        <w:rPr>
          <w:rFonts w:ascii="Helvetica" w:hAnsi="Helvetica"/>
          <w:sz w:val="20"/>
        </w:rPr>
        <w:t xml:space="preserve">Ces motifs sont non seulement affichés dans Alma, mais également dans le courrier envoyé au lecteur, si la case « Avertir l’utilisateur » est cochée. Il reste possible, par ailleurs, de laisser un commentaire qui sera lui aussi affiché dans ce message. </w:t>
      </w:r>
    </w:p>
    <w:p w14:paraId="2BF99ACF" w14:textId="7CBED138" w:rsidR="007D5C97" w:rsidRPr="007F76A8" w:rsidRDefault="007D5C97" w:rsidP="0019280A">
      <w:pPr>
        <w:rPr>
          <w:rFonts w:ascii="Helvetica" w:hAnsi="Helvetica"/>
          <w:sz w:val="20"/>
        </w:rPr>
      </w:pPr>
      <w:r>
        <w:rPr>
          <w:rFonts w:ascii="Helvetica" w:hAnsi="Helvetica"/>
          <w:noProof/>
          <w:sz w:val="20"/>
          <w:lang w:eastAsia="fr-FR"/>
        </w:rPr>
        <w:drawing>
          <wp:inline distT="0" distB="0" distL="0" distR="0" wp14:anchorId="3F6D561E" wp14:editId="31C8138C">
            <wp:extent cx="5760720" cy="2390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24_1220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123" cy="2391772"/>
                    </a:xfrm>
                    <a:prstGeom prst="rect">
                      <a:avLst/>
                    </a:prstGeom>
                  </pic:spPr>
                </pic:pic>
              </a:graphicData>
            </a:graphic>
          </wp:inline>
        </w:drawing>
      </w:r>
    </w:p>
    <w:p w14:paraId="23E5B9A8" w14:textId="12561B4D" w:rsidR="007D5C97" w:rsidRDefault="007D5C97" w:rsidP="0019280A">
      <w:pPr>
        <w:rPr>
          <w:rFonts w:eastAsiaTheme="majorEastAsia" w:cstheme="majorBidi"/>
          <w:sz w:val="40"/>
          <w:szCs w:val="32"/>
        </w:rPr>
      </w:pPr>
      <w:r>
        <w:rPr>
          <w:rFonts w:eastAsiaTheme="majorEastAsia" w:cstheme="majorBidi"/>
          <w:noProof/>
          <w:sz w:val="40"/>
          <w:szCs w:val="32"/>
          <w:lang w:eastAsia="fr-FR"/>
        </w:rPr>
        <w:drawing>
          <wp:inline distT="0" distB="0" distL="0" distR="0" wp14:anchorId="0C62264D" wp14:editId="10401A32">
            <wp:extent cx="5760720" cy="2209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ra Instantané_2023-01-24_122155_outlook.live.com.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209800"/>
                    </a:xfrm>
                    <a:prstGeom prst="rect">
                      <a:avLst/>
                    </a:prstGeom>
                  </pic:spPr>
                </pic:pic>
              </a:graphicData>
            </a:graphic>
          </wp:inline>
        </w:drawing>
      </w:r>
    </w:p>
    <w:p w14:paraId="460F7AF1" w14:textId="77777777" w:rsidR="001B547E" w:rsidRDefault="001B547E" w:rsidP="001B547E">
      <w:pPr>
        <w:rPr>
          <w:rFonts w:ascii="Helvetica" w:hAnsi="Helvetica"/>
          <w:sz w:val="20"/>
        </w:rPr>
      </w:pPr>
    </w:p>
    <w:p w14:paraId="5AEC5C1F" w14:textId="77777777" w:rsidR="001B547E" w:rsidRPr="007F76A8" w:rsidRDefault="001B547E" w:rsidP="001B547E">
      <w:pPr>
        <w:rPr>
          <w:rFonts w:ascii="Helvetica" w:hAnsi="Helvetica"/>
          <w:sz w:val="20"/>
        </w:rPr>
      </w:pPr>
    </w:p>
    <w:p w14:paraId="3896F2AB" w14:textId="41BDAFF3" w:rsidR="001B547E" w:rsidRDefault="001B547E" w:rsidP="001B547E">
      <w:pPr>
        <w:jc w:val="both"/>
        <w:rPr>
          <w:sz w:val="32"/>
          <w:szCs w:val="32"/>
        </w:rPr>
      </w:pPr>
      <w:r>
        <w:rPr>
          <w:sz w:val="32"/>
          <w:szCs w:val="32"/>
        </w:rPr>
        <w:t>Communication sur demande des données personnelles</w:t>
      </w:r>
    </w:p>
    <w:p w14:paraId="4E02D3B7" w14:textId="1241B441" w:rsidR="00AE125E" w:rsidRDefault="001B547E" w:rsidP="00AE125E">
      <w:pPr>
        <w:jc w:val="both"/>
        <w:rPr>
          <w:rFonts w:ascii="Helvetica" w:hAnsi="Helvetica"/>
          <w:sz w:val="20"/>
          <w:szCs w:val="20"/>
        </w:rPr>
      </w:pPr>
      <w:r>
        <w:rPr>
          <w:rFonts w:ascii="Helvetica" w:hAnsi="Helvetica"/>
          <w:sz w:val="20"/>
          <w:szCs w:val="20"/>
        </w:rPr>
        <w:t>Les bibliothécaires peuvent envoyer à un usager qui en fait la demande l’en</w:t>
      </w:r>
      <w:r w:rsidR="00AE125E">
        <w:rPr>
          <w:rFonts w:ascii="Helvetica" w:hAnsi="Helvetica"/>
          <w:sz w:val="20"/>
          <w:szCs w:val="20"/>
        </w:rPr>
        <w:t>semble des données de son dossier personnel</w:t>
      </w:r>
      <w:r>
        <w:rPr>
          <w:rFonts w:ascii="Helvetica" w:hAnsi="Helvetica"/>
          <w:sz w:val="20"/>
          <w:szCs w:val="20"/>
        </w:rPr>
        <w:t>. Cet export consiste en l’envoi par mai</w:t>
      </w:r>
      <w:r w:rsidR="00AE125E">
        <w:rPr>
          <w:rFonts w:ascii="Helvetica" w:hAnsi="Helvetica"/>
          <w:sz w:val="20"/>
          <w:szCs w:val="20"/>
        </w:rPr>
        <w:t>l</w:t>
      </w:r>
      <w:r>
        <w:rPr>
          <w:rFonts w:ascii="Helvetica" w:hAnsi="Helvetica"/>
          <w:sz w:val="20"/>
          <w:szCs w:val="20"/>
        </w:rPr>
        <w:t xml:space="preserve"> d’un fichier XML</w:t>
      </w:r>
      <w:r w:rsidR="00AE125E">
        <w:rPr>
          <w:rFonts w:ascii="Helvetica" w:hAnsi="Helvetica"/>
          <w:sz w:val="20"/>
          <w:szCs w:val="20"/>
        </w:rPr>
        <w:t xml:space="preserve">, le mail employé étant celui figurant comme adresse de contact préférée. </w:t>
      </w:r>
    </w:p>
    <w:p w14:paraId="1B389B7A" w14:textId="7A92C410" w:rsidR="00AE125E" w:rsidRDefault="00AE125E" w:rsidP="00AE125E">
      <w:pPr>
        <w:jc w:val="both"/>
        <w:rPr>
          <w:rFonts w:ascii="Helvetica" w:hAnsi="Helvetica"/>
          <w:sz w:val="20"/>
          <w:szCs w:val="20"/>
        </w:rPr>
      </w:pPr>
      <w:r>
        <w:rPr>
          <w:rFonts w:ascii="Helvetica" w:hAnsi="Helvetica"/>
          <w:sz w:val="20"/>
          <w:szCs w:val="20"/>
        </w:rPr>
        <w:t xml:space="preserve">Cette fonction d’export est intégrée sous l’onglet Informations générales. </w:t>
      </w:r>
    </w:p>
    <w:p w14:paraId="6B789AE9" w14:textId="076EA48A" w:rsidR="00AE125E" w:rsidRDefault="00AE125E" w:rsidP="001B547E">
      <w:pPr>
        <w:rPr>
          <w:rFonts w:ascii="Helvetica" w:hAnsi="Helvetica"/>
          <w:sz w:val="20"/>
          <w:szCs w:val="20"/>
        </w:rPr>
      </w:pPr>
      <w:r>
        <w:rPr>
          <w:rFonts w:ascii="Helvetica" w:hAnsi="Helvetica"/>
          <w:noProof/>
          <w:sz w:val="20"/>
          <w:szCs w:val="20"/>
          <w:lang w:eastAsia="fr-FR"/>
        </w:rPr>
        <w:drawing>
          <wp:inline distT="0" distB="0" distL="0" distR="0" wp14:anchorId="3AAB00A0" wp14:editId="29EABD31">
            <wp:extent cx="5760720" cy="21729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era Instantané_2023-01-24_151910_univ-toulouse-psb.alma.exlibrisgroup.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172970"/>
                    </a:xfrm>
                    <a:prstGeom prst="rect">
                      <a:avLst/>
                    </a:prstGeom>
                  </pic:spPr>
                </pic:pic>
              </a:graphicData>
            </a:graphic>
          </wp:inline>
        </w:drawing>
      </w:r>
    </w:p>
    <w:p w14:paraId="0D368E3E" w14:textId="2ED625BB" w:rsidR="007D5C97" w:rsidRDefault="00AE125E" w:rsidP="001B547E">
      <w:pPr>
        <w:rPr>
          <w:rFonts w:ascii="Helvetica" w:hAnsi="Helvetica"/>
          <w:sz w:val="20"/>
          <w:szCs w:val="20"/>
        </w:rPr>
      </w:pPr>
      <w:r>
        <w:rPr>
          <w:rFonts w:ascii="Helvetica" w:hAnsi="Helvetica"/>
          <w:noProof/>
          <w:sz w:val="20"/>
          <w:szCs w:val="20"/>
          <w:lang w:eastAsia="fr-FR"/>
        </w:rPr>
        <w:drawing>
          <wp:inline distT="0" distB="0" distL="0" distR="0" wp14:anchorId="68725079" wp14:editId="043D4CDB">
            <wp:extent cx="5760720" cy="453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pera Instantané_2023-01-24_152143_outlook.live.com.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533900"/>
                    </a:xfrm>
                    <a:prstGeom prst="rect">
                      <a:avLst/>
                    </a:prstGeom>
                  </pic:spPr>
                </pic:pic>
              </a:graphicData>
            </a:graphic>
          </wp:inline>
        </w:drawing>
      </w:r>
      <w:r w:rsidR="001B547E">
        <w:rPr>
          <w:rFonts w:ascii="Helvetica" w:hAnsi="Helvetica"/>
          <w:sz w:val="20"/>
          <w:szCs w:val="20"/>
        </w:rPr>
        <w:t xml:space="preserve"> </w:t>
      </w:r>
    </w:p>
    <w:p w14:paraId="7FE50B01" w14:textId="3D816F0B" w:rsidR="00AE125E" w:rsidRDefault="00AE125E" w:rsidP="00AE125E">
      <w:pPr>
        <w:jc w:val="center"/>
        <w:rPr>
          <w:rFonts w:ascii="Helvetica" w:hAnsi="Helvetica"/>
          <w:sz w:val="20"/>
          <w:szCs w:val="20"/>
        </w:rPr>
      </w:pPr>
      <w:r>
        <w:rPr>
          <w:rFonts w:ascii="Helvetica" w:hAnsi="Helvetica"/>
          <w:noProof/>
          <w:sz w:val="20"/>
          <w:szCs w:val="20"/>
          <w:lang w:eastAsia="fr-FR"/>
        </w:rPr>
        <w:drawing>
          <wp:inline distT="0" distB="0" distL="0" distR="0" wp14:anchorId="298DDF33" wp14:editId="2C3D0C96">
            <wp:extent cx="5760720" cy="1881505"/>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3-01-24_1522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881505"/>
                    </a:xfrm>
                    <a:prstGeom prst="rect">
                      <a:avLst/>
                    </a:prstGeom>
                  </pic:spPr>
                </pic:pic>
              </a:graphicData>
            </a:graphic>
          </wp:inline>
        </w:drawing>
      </w:r>
    </w:p>
    <w:p w14:paraId="1D139821" w14:textId="77777777" w:rsidR="00AE125E" w:rsidRDefault="00AE125E" w:rsidP="001B547E">
      <w:pPr>
        <w:rPr>
          <w:rFonts w:ascii="Helvetica" w:hAnsi="Helvetica"/>
          <w:sz w:val="20"/>
          <w:szCs w:val="20"/>
        </w:rPr>
      </w:pPr>
    </w:p>
    <w:p w14:paraId="2A1AA960" w14:textId="6074E60C" w:rsidR="00AE125E" w:rsidRDefault="00C335FC" w:rsidP="00AE125E">
      <w:pPr>
        <w:jc w:val="both"/>
        <w:rPr>
          <w:rFonts w:ascii="Helvetica" w:hAnsi="Helvetica"/>
          <w:sz w:val="20"/>
          <w:szCs w:val="20"/>
        </w:rPr>
      </w:pPr>
      <w:r>
        <w:rPr>
          <w:rFonts w:ascii="Helvetica" w:hAnsi="Helvetica"/>
          <w:sz w:val="20"/>
          <w:szCs w:val="20"/>
        </w:rPr>
        <w:t>La</w:t>
      </w:r>
      <w:r w:rsidR="00AE125E">
        <w:rPr>
          <w:rFonts w:ascii="Helvetica" w:hAnsi="Helvetica"/>
          <w:sz w:val="20"/>
          <w:szCs w:val="20"/>
        </w:rPr>
        <w:t xml:space="preserve"> fonction </w:t>
      </w:r>
      <w:r>
        <w:rPr>
          <w:rFonts w:ascii="Helvetica" w:hAnsi="Helvetica"/>
          <w:sz w:val="20"/>
          <w:szCs w:val="20"/>
        </w:rPr>
        <w:t xml:space="preserve">« Envoyer le message » </w:t>
      </w:r>
      <w:r w:rsidR="00AE125E">
        <w:rPr>
          <w:rFonts w:ascii="Helvetica" w:hAnsi="Helvetica"/>
          <w:sz w:val="20"/>
          <w:szCs w:val="20"/>
        </w:rPr>
        <w:t xml:space="preserve">permet également l’envoi d’un message personnalisé au lecteur par le canal d’Alma (avec enregistrement du mail dans l’onglet Pièces jointes) et l’envoi d’un message-type </w:t>
      </w:r>
      <w:r>
        <w:rPr>
          <w:rFonts w:ascii="Helvetica" w:hAnsi="Helvetica"/>
          <w:sz w:val="20"/>
          <w:szCs w:val="20"/>
        </w:rPr>
        <w:t>pour procéder à la</w:t>
      </w:r>
      <w:r w:rsidR="00AE125E">
        <w:rPr>
          <w:rFonts w:ascii="Helvetica" w:hAnsi="Helvetica"/>
          <w:sz w:val="20"/>
          <w:szCs w:val="20"/>
        </w:rPr>
        <w:t xml:space="preserve"> réinitialisation du mot de passe</w:t>
      </w:r>
      <w:r>
        <w:rPr>
          <w:rFonts w:ascii="Helvetica" w:hAnsi="Helvetica"/>
          <w:sz w:val="20"/>
          <w:szCs w:val="20"/>
        </w:rPr>
        <w:t xml:space="preserve"> du lecteur</w:t>
      </w:r>
      <w:r w:rsidR="00AE125E">
        <w:rPr>
          <w:rFonts w:ascii="Helvetica" w:hAnsi="Helvetica"/>
          <w:sz w:val="20"/>
          <w:szCs w:val="20"/>
        </w:rPr>
        <w:t xml:space="preserve"> (fonction non </w:t>
      </w:r>
      <w:r w:rsidR="004D7623">
        <w:rPr>
          <w:rFonts w:ascii="Helvetica" w:hAnsi="Helvetica"/>
          <w:sz w:val="20"/>
          <w:szCs w:val="20"/>
        </w:rPr>
        <w:t xml:space="preserve">proposée </w:t>
      </w:r>
      <w:r w:rsidR="00AE125E">
        <w:rPr>
          <w:rFonts w:ascii="Helvetica" w:hAnsi="Helvetica"/>
          <w:sz w:val="20"/>
          <w:szCs w:val="20"/>
        </w:rPr>
        <w:t xml:space="preserve">pour </w:t>
      </w:r>
      <w:r w:rsidR="004D7623">
        <w:rPr>
          <w:rFonts w:ascii="Helvetica" w:hAnsi="Helvetica"/>
          <w:sz w:val="20"/>
          <w:szCs w:val="20"/>
        </w:rPr>
        <w:t>l</w:t>
      </w:r>
      <w:r w:rsidR="00AE125E">
        <w:rPr>
          <w:rFonts w:ascii="Helvetica" w:hAnsi="Helvetica"/>
          <w:sz w:val="20"/>
          <w:szCs w:val="20"/>
        </w:rPr>
        <w:t>es usagers « externes »).</w:t>
      </w:r>
    </w:p>
    <w:p w14:paraId="0B610A38" w14:textId="64474708" w:rsidR="00AE125E" w:rsidRDefault="00AE125E" w:rsidP="00AE125E">
      <w:pPr>
        <w:jc w:val="both"/>
        <w:rPr>
          <w:rFonts w:eastAsiaTheme="majorEastAsia" w:cstheme="majorBidi"/>
          <w:sz w:val="40"/>
          <w:szCs w:val="32"/>
        </w:rPr>
      </w:pPr>
      <w:r>
        <w:rPr>
          <w:rFonts w:ascii="Helvetica" w:hAnsi="Helvetica"/>
          <w:sz w:val="20"/>
          <w:szCs w:val="20"/>
        </w:rPr>
        <w:t xml:space="preserve">En-tête et contenu de ces messages sont </w:t>
      </w:r>
      <w:r w:rsidR="00C335FC">
        <w:rPr>
          <w:rFonts w:ascii="Helvetica" w:hAnsi="Helvetica"/>
          <w:sz w:val="20"/>
          <w:szCs w:val="20"/>
        </w:rPr>
        <w:t xml:space="preserve">modifiables. </w:t>
      </w:r>
    </w:p>
    <w:p w14:paraId="2A3C10CE" w14:textId="7B5529EE" w:rsidR="00335C64" w:rsidRDefault="00335C64" w:rsidP="0019280A">
      <w:pPr>
        <w:rPr>
          <w:rFonts w:eastAsiaTheme="majorEastAsia" w:cstheme="majorBidi"/>
          <w:sz w:val="40"/>
          <w:szCs w:val="32"/>
        </w:rPr>
      </w:pPr>
      <w:r>
        <w:rPr>
          <w:rFonts w:eastAsiaTheme="majorEastAsia" w:cstheme="majorBidi"/>
          <w:sz w:val="40"/>
          <w:szCs w:val="32"/>
        </w:rPr>
        <w:br w:type="page"/>
      </w:r>
    </w:p>
    <w:p w14:paraId="795B6D75" w14:textId="5BECE5E3" w:rsidR="004D0D7E" w:rsidRPr="00E85728" w:rsidRDefault="004D0D7E" w:rsidP="004D0D7E">
      <w:pPr>
        <w:keepNext/>
        <w:keepLines/>
        <w:jc w:val="both"/>
        <w:outlineLvl w:val="0"/>
        <w:rPr>
          <w:rFonts w:eastAsiaTheme="majorEastAsia" w:cstheme="majorBidi"/>
          <w:sz w:val="40"/>
          <w:szCs w:val="32"/>
        </w:rPr>
      </w:pPr>
      <w:r>
        <w:rPr>
          <w:rFonts w:eastAsiaTheme="majorEastAsia" w:cstheme="majorBidi"/>
          <w:sz w:val="40"/>
          <w:szCs w:val="32"/>
        </w:rPr>
        <w:t xml:space="preserve">Gestion de la doc’ </w:t>
      </w:r>
      <w:proofErr w:type="spellStart"/>
      <w:r>
        <w:rPr>
          <w:rFonts w:eastAsiaTheme="majorEastAsia" w:cstheme="majorBidi"/>
          <w:sz w:val="40"/>
          <w:szCs w:val="32"/>
        </w:rPr>
        <w:t>élec</w:t>
      </w:r>
      <w:proofErr w:type="spellEnd"/>
      <w:r>
        <w:rPr>
          <w:rFonts w:eastAsiaTheme="majorEastAsia" w:cstheme="majorBidi"/>
          <w:sz w:val="40"/>
          <w:szCs w:val="32"/>
        </w:rPr>
        <w:t>’</w:t>
      </w:r>
    </w:p>
    <w:p w14:paraId="43830DB3" w14:textId="4AC8AAC2" w:rsidR="004D0D7E" w:rsidRDefault="00495CBC" w:rsidP="004D0D7E">
      <w:pPr>
        <w:jc w:val="both"/>
        <w:rPr>
          <w:sz w:val="32"/>
          <w:szCs w:val="32"/>
        </w:rPr>
      </w:pPr>
      <w:r>
        <w:rPr>
          <w:sz w:val="32"/>
          <w:szCs w:val="32"/>
        </w:rPr>
        <w:t>Implémentation de nouveaux champs « Date d’activation » au niveau du portfolio</w:t>
      </w:r>
    </w:p>
    <w:p w14:paraId="6A94BD1A" w14:textId="629C540E" w:rsidR="00495CBC" w:rsidRDefault="00495CBC" w:rsidP="004D0D7E">
      <w:pPr>
        <w:jc w:val="both"/>
        <w:rPr>
          <w:rFonts w:ascii="Helvetica" w:hAnsi="Helvetica"/>
          <w:sz w:val="20"/>
          <w:szCs w:val="20"/>
        </w:rPr>
      </w:pPr>
      <w:r>
        <w:rPr>
          <w:rFonts w:ascii="Helvetica" w:hAnsi="Helvetica"/>
          <w:sz w:val="20"/>
          <w:szCs w:val="20"/>
        </w:rPr>
        <w:t xml:space="preserve">Une paire de nouveaux champs a été ajoutée au niveau du portfolio : </w:t>
      </w:r>
      <w:r w:rsidR="00015ADC">
        <w:rPr>
          <w:rFonts w:ascii="Helvetica" w:hAnsi="Helvetica"/>
          <w:sz w:val="20"/>
          <w:szCs w:val="20"/>
        </w:rPr>
        <w:t>« Disponible à partir » / « Disponible jusqu’au ».</w:t>
      </w:r>
    </w:p>
    <w:p w14:paraId="22519293" w14:textId="1E5AF62D" w:rsidR="00015ADC" w:rsidRDefault="00015ADC" w:rsidP="004D0D7E">
      <w:pPr>
        <w:jc w:val="both"/>
        <w:rPr>
          <w:rFonts w:ascii="Helvetica" w:hAnsi="Helvetica"/>
          <w:sz w:val="20"/>
          <w:szCs w:val="20"/>
        </w:rPr>
      </w:pPr>
      <w:r>
        <w:rPr>
          <w:rFonts w:ascii="Helvetica" w:hAnsi="Helvetica"/>
          <w:noProof/>
          <w:sz w:val="20"/>
          <w:szCs w:val="20"/>
          <w:lang w:eastAsia="fr-FR"/>
        </w:rPr>
        <w:drawing>
          <wp:inline distT="0" distB="0" distL="0" distR="0" wp14:anchorId="22A2E28F" wp14:editId="0EF9C5A2">
            <wp:extent cx="5760720" cy="16071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pera Instantané_2023-01-24_130823_univ-toulouse-psb.alma.exlibrisgroup.com.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607185"/>
                    </a:xfrm>
                    <a:prstGeom prst="rect">
                      <a:avLst/>
                    </a:prstGeom>
                  </pic:spPr>
                </pic:pic>
              </a:graphicData>
            </a:graphic>
          </wp:inline>
        </w:drawing>
      </w:r>
    </w:p>
    <w:p w14:paraId="47C0DC70" w14:textId="3926A3EE" w:rsidR="00495CBC" w:rsidRDefault="00495CBC" w:rsidP="004D0D7E">
      <w:pPr>
        <w:jc w:val="both"/>
        <w:rPr>
          <w:rFonts w:ascii="Helvetica" w:hAnsi="Helvetica"/>
          <w:sz w:val="20"/>
          <w:szCs w:val="20"/>
        </w:rPr>
      </w:pPr>
    </w:p>
    <w:p w14:paraId="1A6BA2BA" w14:textId="15F851CF" w:rsidR="00015ADC" w:rsidRDefault="00015ADC" w:rsidP="004D0D7E">
      <w:pPr>
        <w:jc w:val="both"/>
        <w:rPr>
          <w:rFonts w:ascii="Helvetica" w:hAnsi="Helvetica"/>
          <w:sz w:val="20"/>
          <w:szCs w:val="20"/>
        </w:rPr>
      </w:pPr>
      <w:r>
        <w:rPr>
          <w:rFonts w:ascii="Helvetica" w:hAnsi="Helvetica"/>
          <w:sz w:val="20"/>
          <w:szCs w:val="20"/>
        </w:rPr>
        <w:t>L’implémentation de ces champs se fait en combinaison avec l’ajout d’un nouveau traitement planifié quotidien (</w:t>
      </w:r>
      <w:r w:rsidRPr="00015ADC">
        <w:rPr>
          <w:rFonts w:ascii="Helvetica" w:hAnsi="Helvetica"/>
          <w:sz w:val="20"/>
          <w:szCs w:val="20"/>
        </w:rPr>
        <w:t>Mise à jour de disponibilité de portfolio</w:t>
      </w:r>
      <w:r>
        <w:rPr>
          <w:rFonts w:ascii="Helvetica" w:hAnsi="Helvetica"/>
          <w:sz w:val="20"/>
          <w:szCs w:val="20"/>
        </w:rPr>
        <w:t xml:space="preserve">), qui active ou désactive automatiquement les portfolios en fonction des dates renseignées dans ces champs. </w:t>
      </w:r>
    </w:p>
    <w:p w14:paraId="3DE849F5" w14:textId="56CE1F23" w:rsidR="00F90908" w:rsidRPr="005C39E7" w:rsidRDefault="00015ADC" w:rsidP="005C39E7">
      <w:pPr>
        <w:jc w:val="both"/>
        <w:rPr>
          <w:rFonts w:ascii="Helvetica" w:hAnsi="Helvetica"/>
          <w:sz w:val="20"/>
          <w:szCs w:val="20"/>
        </w:rPr>
      </w:pPr>
      <w:r>
        <w:rPr>
          <w:rFonts w:ascii="Helvetica" w:hAnsi="Helvetica"/>
          <w:sz w:val="20"/>
          <w:szCs w:val="20"/>
        </w:rPr>
        <w:t xml:space="preserve">Il est à noter que ces champs peuvent être renseignés ou mis à jour à l’aide du traitement par lot </w:t>
      </w:r>
      <w:r w:rsidRPr="00015ADC">
        <w:rPr>
          <w:rFonts w:ascii="Helvetica" w:hAnsi="Helvetica"/>
          <w:sz w:val="20"/>
          <w:szCs w:val="20"/>
        </w:rPr>
        <w:t xml:space="preserve">Changer les informations du portfolio électronique </w:t>
      </w:r>
      <w:r>
        <w:rPr>
          <w:rFonts w:ascii="Helvetica" w:hAnsi="Helvetica"/>
          <w:sz w:val="20"/>
          <w:szCs w:val="20"/>
        </w:rPr>
        <w:t xml:space="preserve">ou par API. </w:t>
      </w:r>
      <w:r w:rsidR="005F7576">
        <w:rPr>
          <w:rFonts w:ascii="Helvetica" w:hAnsi="Helvetica"/>
          <w:sz w:val="20"/>
          <w:szCs w:val="20"/>
        </w:rPr>
        <w:t xml:space="preserve"> </w:t>
      </w:r>
      <w:r w:rsidR="00F90908">
        <w:rPr>
          <w:rFonts w:ascii="Helvetica" w:hAnsi="Helvetica" w:cs="Helvetica"/>
          <w:sz w:val="20"/>
          <w:szCs w:val="20"/>
        </w:rPr>
        <w:t xml:space="preserve"> </w:t>
      </w:r>
    </w:p>
    <w:p w14:paraId="31FAFB85" w14:textId="7C8593F0" w:rsidR="00F90908" w:rsidRDefault="00F90908" w:rsidP="00F90908">
      <w:pPr>
        <w:jc w:val="both"/>
        <w:rPr>
          <w:rFonts w:ascii="Helvetica" w:hAnsi="Helvetica"/>
          <w:sz w:val="20"/>
          <w:szCs w:val="20"/>
        </w:rPr>
      </w:pPr>
    </w:p>
    <w:p w14:paraId="2B896BE1" w14:textId="6DFEC98B" w:rsidR="00015ADC" w:rsidRDefault="00015ADC" w:rsidP="00F90908">
      <w:pPr>
        <w:jc w:val="both"/>
        <w:rPr>
          <w:rFonts w:ascii="Helvetica" w:hAnsi="Helvetica"/>
          <w:sz w:val="20"/>
          <w:szCs w:val="20"/>
        </w:rPr>
      </w:pPr>
    </w:p>
    <w:p w14:paraId="30A7709C" w14:textId="61B81DD8" w:rsidR="00015ADC" w:rsidRDefault="00015ADC" w:rsidP="00015ADC">
      <w:pPr>
        <w:jc w:val="both"/>
        <w:rPr>
          <w:sz w:val="32"/>
          <w:szCs w:val="32"/>
        </w:rPr>
      </w:pPr>
      <w:r>
        <w:rPr>
          <w:sz w:val="32"/>
          <w:szCs w:val="32"/>
        </w:rPr>
        <w:t>Message d’indisponibilité temporaire</w:t>
      </w:r>
    </w:p>
    <w:p w14:paraId="13B9D501" w14:textId="77777777" w:rsidR="009A77D4" w:rsidRDefault="009A77D4" w:rsidP="00015ADC">
      <w:pPr>
        <w:jc w:val="both"/>
        <w:rPr>
          <w:rFonts w:ascii="Helvetica" w:hAnsi="Helvetica"/>
          <w:sz w:val="20"/>
          <w:szCs w:val="20"/>
        </w:rPr>
      </w:pPr>
      <w:r>
        <w:rPr>
          <w:rFonts w:ascii="Helvetica" w:hAnsi="Helvetica"/>
          <w:sz w:val="20"/>
          <w:szCs w:val="20"/>
        </w:rPr>
        <w:t xml:space="preserve">Le message indiquant le motif d’une indisponibilité temporaire d’une collection électronique (message renseigné au niveau du service de cette collection) peut désormais être assorti d’une date de fin, et pas seulement d’une date de début. Cela permet de basculer automatiquement à Non le paramètre </w:t>
      </w:r>
      <w:r w:rsidRPr="009A77D4">
        <w:rPr>
          <w:rFonts w:ascii="Helvetica" w:hAnsi="Helvetica"/>
          <w:sz w:val="20"/>
          <w:szCs w:val="20"/>
        </w:rPr>
        <w:t>Service temporairement indisponible</w:t>
      </w:r>
      <w:r>
        <w:rPr>
          <w:rFonts w:ascii="Helvetica" w:hAnsi="Helvetica"/>
          <w:sz w:val="20"/>
          <w:szCs w:val="20"/>
        </w:rPr>
        <w:t xml:space="preserve">, une fois cette date passée. </w:t>
      </w:r>
    </w:p>
    <w:p w14:paraId="789BD957" w14:textId="76AD457A" w:rsidR="009A77D4" w:rsidRDefault="009A77D4" w:rsidP="00015ADC">
      <w:pPr>
        <w:jc w:val="both"/>
        <w:rPr>
          <w:rFonts w:ascii="Helvetica" w:hAnsi="Helvetica"/>
          <w:sz w:val="20"/>
          <w:szCs w:val="20"/>
        </w:rPr>
      </w:pPr>
      <w:r>
        <w:rPr>
          <w:rFonts w:ascii="Helvetica" w:hAnsi="Helvetica"/>
          <w:noProof/>
          <w:sz w:val="20"/>
          <w:szCs w:val="20"/>
          <w:lang w:eastAsia="fr-FR"/>
        </w:rPr>
        <w:drawing>
          <wp:inline distT="0" distB="0" distL="0" distR="0" wp14:anchorId="704F44FD" wp14:editId="2EA95030">
            <wp:extent cx="5760720" cy="24180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pera Instantané_2023-01-24_132210_univ-toulouse-psb.alma.exlibrisgroup.com.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inline>
        </w:drawing>
      </w:r>
    </w:p>
    <w:p w14:paraId="7AD28501" w14:textId="77777777" w:rsidR="009A77D4" w:rsidRDefault="009A77D4" w:rsidP="00015ADC">
      <w:pPr>
        <w:jc w:val="both"/>
        <w:rPr>
          <w:rFonts w:ascii="Helvetica" w:hAnsi="Helvetica"/>
          <w:sz w:val="20"/>
          <w:szCs w:val="20"/>
        </w:rPr>
      </w:pPr>
    </w:p>
    <w:p w14:paraId="2297DF80" w14:textId="629B3DB9" w:rsidR="00015ADC" w:rsidRDefault="009A77D4" w:rsidP="00015ADC">
      <w:pPr>
        <w:jc w:val="both"/>
        <w:rPr>
          <w:rFonts w:ascii="Helvetica" w:hAnsi="Helvetica"/>
          <w:sz w:val="20"/>
          <w:szCs w:val="20"/>
        </w:rPr>
      </w:pPr>
      <w:r>
        <w:rPr>
          <w:rFonts w:ascii="Helvetica" w:hAnsi="Helvetica"/>
          <w:sz w:val="20"/>
          <w:szCs w:val="20"/>
        </w:rPr>
        <w:t xml:space="preserve">Il reste possible, cependant, de ne renseigner que la date de début, si la durée d’indisponibilité du service n’est pas connue. </w:t>
      </w:r>
    </w:p>
    <w:p w14:paraId="6286CA69" w14:textId="77777777" w:rsidR="00015ADC" w:rsidRDefault="00015ADC" w:rsidP="00F90908">
      <w:pPr>
        <w:jc w:val="both"/>
        <w:rPr>
          <w:rFonts w:ascii="Helvetica" w:hAnsi="Helvetica"/>
          <w:sz w:val="20"/>
          <w:szCs w:val="20"/>
        </w:rPr>
      </w:pPr>
    </w:p>
    <w:p w14:paraId="048FDDD5" w14:textId="77777777" w:rsidR="00F90908" w:rsidRPr="001B017C" w:rsidRDefault="00F90908" w:rsidP="00F90908">
      <w:pPr>
        <w:jc w:val="both"/>
        <w:rPr>
          <w:rFonts w:ascii="Helvetica" w:hAnsi="Helvetica"/>
          <w:sz w:val="20"/>
          <w:szCs w:val="20"/>
        </w:rPr>
      </w:pPr>
    </w:p>
    <w:p w14:paraId="1E3DF6EB" w14:textId="04FFEC0E" w:rsidR="00F90908" w:rsidRDefault="00FE31A4" w:rsidP="00F90908">
      <w:pPr>
        <w:jc w:val="both"/>
        <w:rPr>
          <w:sz w:val="32"/>
          <w:szCs w:val="32"/>
        </w:rPr>
      </w:pPr>
      <w:r>
        <w:rPr>
          <w:sz w:val="32"/>
          <w:szCs w:val="32"/>
        </w:rPr>
        <w:t>Affichage de notes d’activation</w:t>
      </w:r>
    </w:p>
    <w:p w14:paraId="1998E23D" w14:textId="4191DFD7" w:rsidR="00B05EAF" w:rsidRDefault="00FE31A4" w:rsidP="005C39E7">
      <w:pPr>
        <w:jc w:val="both"/>
        <w:rPr>
          <w:rFonts w:ascii="Helvetica" w:hAnsi="Helvetica"/>
          <w:sz w:val="20"/>
          <w:szCs w:val="20"/>
        </w:rPr>
      </w:pPr>
      <w:r>
        <w:rPr>
          <w:rFonts w:ascii="Helvetica" w:hAnsi="Helvetica"/>
          <w:sz w:val="20"/>
          <w:szCs w:val="20"/>
        </w:rPr>
        <w:t xml:space="preserve">Le contenu des notes d’activation apparaît désormais dans </w:t>
      </w:r>
      <w:r w:rsidR="003A43D5">
        <w:rPr>
          <w:rFonts w:ascii="Helvetica" w:hAnsi="Helvetica"/>
          <w:sz w:val="20"/>
          <w:szCs w:val="20"/>
        </w:rPr>
        <w:t xml:space="preserve">la </w:t>
      </w:r>
      <w:r w:rsidR="003A43D5" w:rsidRPr="003A43D5">
        <w:rPr>
          <w:rFonts w:ascii="Helvetica" w:hAnsi="Helvetica"/>
          <w:sz w:val="20"/>
          <w:szCs w:val="20"/>
        </w:rPr>
        <w:t>Liste des tâches d'activation des ressources électroniques</w:t>
      </w:r>
      <w:r w:rsidR="003A43D5">
        <w:rPr>
          <w:rFonts w:ascii="Helvetica" w:hAnsi="Helvetica"/>
          <w:sz w:val="20"/>
          <w:szCs w:val="20"/>
        </w:rPr>
        <w:t xml:space="preserve">, sur le même modèle que les notes de réception des lignes de commande physiques. </w:t>
      </w:r>
    </w:p>
    <w:p w14:paraId="138F5C46" w14:textId="77777777" w:rsidR="00335C64" w:rsidRPr="00F90908" w:rsidRDefault="00335C64" w:rsidP="00380E55">
      <w:pPr>
        <w:jc w:val="both"/>
        <w:rPr>
          <w:rFonts w:ascii="Helvetica" w:hAnsi="Helvetica" w:cs="Helvetica"/>
          <w:sz w:val="20"/>
          <w:szCs w:val="20"/>
        </w:rPr>
      </w:pPr>
    </w:p>
    <w:p w14:paraId="1C040334" w14:textId="36CB4A16" w:rsidR="00F90908" w:rsidRDefault="00F90908">
      <w:pPr>
        <w:rPr>
          <w:rFonts w:eastAsiaTheme="majorEastAsia" w:cstheme="majorBidi"/>
          <w:sz w:val="40"/>
          <w:szCs w:val="32"/>
        </w:rPr>
      </w:pPr>
    </w:p>
    <w:p w14:paraId="470DA836" w14:textId="77777777" w:rsidR="00F90908" w:rsidRDefault="00F90908">
      <w:pPr>
        <w:rPr>
          <w:rFonts w:eastAsiaTheme="majorEastAsia" w:cstheme="majorBidi"/>
          <w:sz w:val="40"/>
          <w:szCs w:val="32"/>
        </w:rPr>
      </w:pPr>
      <w:r>
        <w:rPr>
          <w:rFonts w:eastAsiaTheme="majorEastAsia" w:cstheme="majorBidi"/>
          <w:sz w:val="40"/>
          <w:szCs w:val="32"/>
        </w:rPr>
        <w:br w:type="page"/>
      </w:r>
    </w:p>
    <w:p w14:paraId="3B44A5A6" w14:textId="43A66DF4" w:rsidR="00B05EAF" w:rsidRPr="00E85728" w:rsidRDefault="00335C64" w:rsidP="00B05EAF">
      <w:pPr>
        <w:keepNext/>
        <w:keepLines/>
        <w:jc w:val="both"/>
        <w:outlineLvl w:val="0"/>
        <w:rPr>
          <w:rFonts w:eastAsiaTheme="majorEastAsia" w:cstheme="majorBidi"/>
          <w:sz w:val="40"/>
          <w:szCs w:val="32"/>
        </w:rPr>
      </w:pPr>
      <w:proofErr w:type="spellStart"/>
      <w:r>
        <w:rPr>
          <w:rFonts w:eastAsiaTheme="majorEastAsia" w:cstheme="majorBidi"/>
          <w:sz w:val="40"/>
          <w:szCs w:val="32"/>
        </w:rPr>
        <w:t>Analytics</w:t>
      </w:r>
      <w:proofErr w:type="spellEnd"/>
    </w:p>
    <w:p w14:paraId="5393B290" w14:textId="35C71194" w:rsidR="00B05EAF" w:rsidRDefault="003A43D5" w:rsidP="00B05EAF">
      <w:pPr>
        <w:jc w:val="both"/>
        <w:rPr>
          <w:sz w:val="32"/>
          <w:szCs w:val="32"/>
        </w:rPr>
      </w:pPr>
      <w:r>
        <w:rPr>
          <w:sz w:val="32"/>
          <w:szCs w:val="32"/>
        </w:rPr>
        <w:t xml:space="preserve">Refonte du menu </w:t>
      </w:r>
      <w:proofErr w:type="spellStart"/>
      <w:r>
        <w:rPr>
          <w:sz w:val="32"/>
          <w:szCs w:val="32"/>
        </w:rPr>
        <w:t>Analytics</w:t>
      </w:r>
      <w:proofErr w:type="spellEnd"/>
      <w:r>
        <w:rPr>
          <w:sz w:val="32"/>
          <w:szCs w:val="32"/>
        </w:rPr>
        <w:t xml:space="preserve"> d’Alma</w:t>
      </w:r>
    </w:p>
    <w:p w14:paraId="4E852CBE" w14:textId="7E860F9D" w:rsidR="00F54507" w:rsidRDefault="003A43D5" w:rsidP="00335C64">
      <w:pPr>
        <w:jc w:val="both"/>
        <w:rPr>
          <w:rFonts w:ascii="Helvetica" w:hAnsi="Helvetica"/>
          <w:sz w:val="20"/>
          <w:szCs w:val="20"/>
        </w:rPr>
      </w:pPr>
      <w:r>
        <w:rPr>
          <w:rFonts w:ascii="Helvetica" w:hAnsi="Helvetica"/>
          <w:sz w:val="20"/>
          <w:szCs w:val="20"/>
        </w:rPr>
        <w:t xml:space="preserve">Ce menu est totalement revu pour permettre à chaque utilisateur de se constituer sa propre bibliothèque de rapports à partir des rapports proposés dans la table Liste d’objet d’analyse. </w:t>
      </w:r>
    </w:p>
    <w:p w14:paraId="7811F7E9" w14:textId="7CA50861" w:rsidR="003A43D5" w:rsidRDefault="003A43D5" w:rsidP="00335C64">
      <w:pPr>
        <w:jc w:val="both"/>
        <w:rPr>
          <w:rFonts w:ascii="Helvetica" w:hAnsi="Helvetica"/>
          <w:sz w:val="20"/>
          <w:szCs w:val="20"/>
        </w:rPr>
      </w:pPr>
      <w:r>
        <w:rPr>
          <w:rFonts w:ascii="Helvetica" w:hAnsi="Helvetica"/>
          <w:noProof/>
          <w:sz w:val="20"/>
          <w:szCs w:val="20"/>
          <w:lang w:eastAsia="fr-FR"/>
        </w:rPr>
        <w:drawing>
          <wp:inline distT="0" distB="0" distL="0" distR="0" wp14:anchorId="623F68E6" wp14:editId="1F219F57">
            <wp:extent cx="5760720" cy="6817995"/>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pera Instantané_2023-01-24_141908_univ-toulouse-psb.alma.exlibrisgroup.com.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6817995"/>
                    </a:xfrm>
                    <a:prstGeom prst="rect">
                      <a:avLst/>
                    </a:prstGeom>
                  </pic:spPr>
                </pic:pic>
              </a:graphicData>
            </a:graphic>
          </wp:inline>
        </w:drawing>
      </w:r>
    </w:p>
    <w:p w14:paraId="2F8775DD" w14:textId="77777777" w:rsidR="003A43D5" w:rsidRDefault="003A43D5" w:rsidP="00335C64">
      <w:pPr>
        <w:jc w:val="both"/>
        <w:rPr>
          <w:rFonts w:ascii="Helvetica" w:hAnsi="Helvetica"/>
          <w:sz w:val="20"/>
          <w:szCs w:val="20"/>
        </w:rPr>
      </w:pPr>
    </w:p>
    <w:p w14:paraId="60988EF4" w14:textId="4BBBC5D7" w:rsidR="00335C64" w:rsidRPr="003A43D5" w:rsidRDefault="00335C64" w:rsidP="003A43D5">
      <w:pPr>
        <w:jc w:val="both"/>
        <w:rPr>
          <w:rFonts w:ascii="Helvetica" w:eastAsiaTheme="majorEastAsia" w:hAnsi="Helvetica" w:cstheme="majorBidi"/>
          <w:sz w:val="20"/>
          <w:szCs w:val="20"/>
        </w:rPr>
      </w:pPr>
    </w:p>
    <w:p w14:paraId="603581E7" w14:textId="77777777" w:rsidR="00380E55" w:rsidRDefault="00380E55" w:rsidP="00380E55">
      <w:pPr>
        <w:jc w:val="both"/>
        <w:rPr>
          <w:rFonts w:ascii="Helvetica" w:hAnsi="Helvetica"/>
          <w:sz w:val="20"/>
          <w:szCs w:val="20"/>
        </w:rPr>
      </w:pPr>
    </w:p>
    <w:p w14:paraId="7FC57725" w14:textId="77777777" w:rsidR="00380E55" w:rsidRPr="001B017C" w:rsidRDefault="00380E55" w:rsidP="00380E55">
      <w:pPr>
        <w:jc w:val="both"/>
        <w:rPr>
          <w:rFonts w:ascii="Helvetica" w:hAnsi="Helvetica"/>
          <w:sz w:val="20"/>
          <w:szCs w:val="20"/>
        </w:rPr>
      </w:pPr>
    </w:p>
    <w:p w14:paraId="5578CCC9" w14:textId="1AB3C95D" w:rsidR="00380E55" w:rsidRPr="003A43D5" w:rsidRDefault="003A43D5" w:rsidP="00380E55">
      <w:pPr>
        <w:jc w:val="both"/>
        <w:rPr>
          <w:i/>
          <w:sz w:val="28"/>
          <w:szCs w:val="32"/>
        </w:rPr>
      </w:pPr>
      <w:r>
        <w:rPr>
          <w:i/>
          <w:sz w:val="28"/>
          <w:szCs w:val="32"/>
        </w:rPr>
        <w:t>Accéder aux rapports partagés</w:t>
      </w:r>
    </w:p>
    <w:p w14:paraId="3F522B20" w14:textId="2F6F08A7" w:rsidR="00256CB1" w:rsidRDefault="003A43D5" w:rsidP="00380E55">
      <w:pPr>
        <w:jc w:val="both"/>
        <w:rPr>
          <w:rFonts w:ascii="Helvetica" w:hAnsi="Helvetica"/>
          <w:sz w:val="20"/>
          <w:szCs w:val="20"/>
        </w:rPr>
      </w:pPr>
      <w:r>
        <w:rPr>
          <w:rFonts w:ascii="Helvetica" w:hAnsi="Helvetica"/>
          <w:sz w:val="20"/>
          <w:szCs w:val="20"/>
        </w:rPr>
        <w:t xml:space="preserve">L’accès aux rapports partagés, mis à disposition par les administrateurs du système se fait depuis le lien marqué Partagé avec moi. La page qui s’ouvre est l’équivalent de ce qui était rangé dans la section Rapports, du menu </w:t>
      </w:r>
      <w:proofErr w:type="spellStart"/>
      <w:r>
        <w:rPr>
          <w:rFonts w:ascii="Helvetica" w:hAnsi="Helvetica"/>
          <w:sz w:val="20"/>
          <w:szCs w:val="20"/>
        </w:rPr>
        <w:t>Analytics</w:t>
      </w:r>
      <w:proofErr w:type="spellEnd"/>
      <w:r>
        <w:rPr>
          <w:rFonts w:ascii="Helvetica" w:hAnsi="Helvetica"/>
          <w:sz w:val="20"/>
          <w:szCs w:val="20"/>
        </w:rPr>
        <w:t xml:space="preserve"> précédent. </w:t>
      </w:r>
    </w:p>
    <w:p w14:paraId="51ABAF68" w14:textId="788FD9BB" w:rsidR="00256CB1" w:rsidRDefault="00256CB1" w:rsidP="00380E55">
      <w:pPr>
        <w:jc w:val="both"/>
        <w:rPr>
          <w:rFonts w:ascii="Helvetica" w:hAnsi="Helvetica"/>
          <w:i/>
          <w:sz w:val="20"/>
          <w:szCs w:val="20"/>
        </w:rPr>
      </w:pPr>
      <w:r>
        <w:rPr>
          <w:rFonts w:ascii="Helvetica" w:hAnsi="Helvetica"/>
          <w:i/>
          <w:sz w:val="20"/>
          <w:szCs w:val="20"/>
        </w:rPr>
        <w:t>Avant</w:t>
      </w:r>
    </w:p>
    <w:p w14:paraId="41A0CB7A" w14:textId="41DB71FD" w:rsidR="00256CB1" w:rsidRDefault="00256CB1" w:rsidP="00256CB1">
      <w:pPr>
        <w:jc w:val="center"/>
        <w:rPr>
          <w:rFonts w:ascii="Helvetica" w:hAnsi="Helvetica"/>
          <w:i/>
          <w:sz w:val="20"/>
          <w:szCs w:val="20"/>
        </w:rPr>
      </w:pPr>
      <w:r>
        <w:rPr>
          <w:rFonts w:ascii="Helvetica" w:hAnsi="Helvetica"/>
          <w:i/>
          <w:noProof/>
          <w:sz w:val="20"/>
          <w:szCs w:val="20"/>
          <w:lang w:eastAsia="fr-FR"/>
        </w:rPr>
        <w:drawing>
          <wp:inline distT="0" distB="0" distL="0" distR="0" wp14:anchorId="1AB0C1EA" wp14:editId="7526EC13">
            <wp:extent cx="3463542" cy="3333750"/>
            <wp:effectExtent l="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01-24_14235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1106" cy="3341030"/>
                    </a:xfrm>
                    <a:prstGeom prst="rect">
                      <a:avLst/>
                    </a:prstGeom>
                  </pic:spPr>
                </pic:pic>
              </a:graphicData>
            </a:graphic>
          </wp:inline>
        </w:drawing>
      </w:r>
    </w:p>
    <w:p w14:paraId="32494C9A" w14:textId="4B254320" w:rsidR="00256CB1" w:rsidRDefault="00256CB1" w:rsidP="00380E55">
      <w:pPr>
        <w:jc w:val="both"/>
        <w:rPr>
          <w:rFonts w:ascii="Helvetica" w:hAnsi="Helvetica"/>
          <w:i/>
          <w:sz w:val="20"/>
          <w:szCs w:val="20"/>
        </w:rPr>
      </w:pPr>
      <w:r>
        <w:rPr>
          <w:rFonts w:ascii="Helvetica" w:hAnsi="Helvetica"/>
          <w:i/>
          <w:sz w:val="20"/>
          <w:szCs w:val="20"/>
        </w:rPr>
        <w:t>Après</w:t>
      </w:r>
    </w:p>
    <w:p w14:paraId="5387F91E" w14:textId="7051369D" w:rsidR="00256CB1" w:rsidRDefault="00256CB1" w:rsidP="00256CB1">
      <w:pPr>
        <w:ind w:left="-709"/>
        <w:jc w:val="both"/>
        <w:rPr>
          <w:rFonts w:ascii="Helvetica" w:hAnsi="Helvetica"/>
          <w:sz w:val="20"/>
          <w:szCs w:val="20"/>
        </w:rPr>
      </w:pPr>
      <w:r>
        <w:rPr>
          <w:rFonts w:ascii="Helvetica" w:hAnsi="Helvetica"/>
          <w:noProof/>
          <w:sz w:val="20"/>
          <w:szCs w:val="20"/>
          <w:lang w:eastAsia="fr-FR"/>
        </w:rPr>
        <w:drawing>
          <wp:inline distT="0" distB="0" distL="0" distR="0" wp14:anchorId="76A90ED5" wp14:editId="70F2BF28">
            <wp:extent cx="6353175" cy="34004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era Instantané_2023-01-24_142138_univ-toulouse-psb.alma.exlibrisgroup.co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3175" cy="3400425"/>
                    </a:xfrm>
                    <a:prstGeom prst="rect">
                      <a:avLst/>
                    </a:prstGeom>
                  </pic:spPr>
                </pic:pic>
              </a:graphicData>
            </a:graphic>
          </wp:inline>
        </w:drawing>
      </w:r>
    </w:p>
    <w:p w14:paraId="4B2E0760" w14:textId="77777777" w:rsidR="00256CB1" w:rsidRDefault="00256CB1" w:rsidP="00380E55">
      <w:pPr>
        <w:jc w:val="both"/>
        <w:rPr>
          <w:rFonts w:ascii="Helvetica" w:hAnsi="Helvetica"/>
          <w:sz w:val="20"/>
          <w:szCs w:val="20"/>
        </w:rPr>
      </w:pPr>
    </w:p>
    <w:p w14:paraId="445C2DE2" w14:textId="2CB231D2" w:rsidR="00380E55" w:rsidRDefault="003A43D5" w:rsidP="00380E55">
      <w:pPr>
        <w:jc w:val="both"/>
        <w:rPr>
          <w:rFonts w:ascii="Helvetica" w:hAnsi="Helvetica"/>
          <w:sz w:val="20"/>
          <w:szCs w:val="20"/>
        </w:rPr>
      </w:pPr>
      <w:r>
        <w:rPr>
          <w:rFonts w:ascii="Helvetica" w:hAnsi="Helvetica"/>
          <w:sz w:val="20"/>
          <w:szCs w:val="20"/>
        </w:rPr>
        <w:t xml:space="preserve">Comme précédemment, l’étendue des rapports proposés dépend des rôles assignés à l’utilisateur : certains rapports sont partagés très largement (par exemple, avec tous les « opérateurs de bureau de prêt »), d’autres réservés à un nombre plus restreint d’utilisateurs (par exemple, aux « administrateurs des acquisitions). </w:t>
      </w:r>
      <w:r w:rsidR="00256CB1">
        <w:rPr>
          <w:rFonts w:ascii="Helvetica" w:hAnsi="Helvetica"/>
          <w:sz w:val="20"/>
          <w:szCs w:val="20"/>
        </w:rPr>
        <w:t xml:space="preserve">Cette liste est donc différente d’une personne à l’autre. </w:t>
      </w:r>
    </w:p>
    <w:p w14:paraId="56879DC2" w14:textId="45338D4C" w:rsidR="00256CB1" w:rsidRDefault="00256CB1" w:rsidP="00380E55">
      <w:pPr>
        <w:jc w:val="both"/>
        <w:rPr>
          <w:rFonts w:ascii="Helvetica" w:hAnsi="Helvetica"/>
          <w:sz w:val="20"/>
          <w:szCs w:val="20"/>
        </w:rPr>
      </w:pPr>
      <w:r>
        <w:rPr>
          <w:rFonts w:ascii="Helvetica" w:hAnsi="Helvetica"/>
          <w:sz w:val="20"/>
          <w:szCs w:val="20"/>
        </w:rPr>
        <w:t xml:space="preserve">Pour chaque rapport, cette page indique : </w:t>
      </w:r>
    </w:p>
    <w:p w14:paraId="4995AE9F" w14:textId="02E862C7" w:rsidR="00256CB1" w:rsidRDefault="00256CB1" w:rsidP="00256CB1">
      <w:pPr>
        <w:pStyle w:val="Paragraphedeliste"/>
        <w:numPr>
          <w:ilvl w:val="0"/>
          <w:numId w:val="48"/>
        </w:numPr>
        <w:jc w:val="both"/>
        <w:rPr>
          <w:rFonts w:ascii="Helvetica" w:hAnsi="Helvetica"/>
          <w:sz w:val="20"/>
          <w:szCs w:val="20"/>
        </w:rPr>
      </w:pPr>
      <w:r>
        <w:rPr>
          <w:rFonts w:ascii="Helvetica" w:hAnsi="Helvetica"/>
          <w:sz w:val="20"/>
          <w:szCs w:val="20"/>
        </w:rPr>
        <w:t xml:space="preserve">Le chemin d’accès vers le rapport dans Alma </w:t>
      </w:r>
      <w:proofErr w:type="spellStart"/>
      <w:r>
        <w:rPr>
          <w:rFonts w:ascii="Helvetica" w:hAnsi="Helvetica"/>
          <w:sz w:val="20"/>
          <w:szCs w:val="20"/>
        </w:rPr>
        <w:t>Analytics</w:t>
      </w:r>
      <w:proofErr w:type="spellEnd"/>
      <w:r w:rsidR="00EA7B72">
        <w:rPr>
          <w:rFonts w:ascii="Helvetica" w:hAnsi="Helvetica"/>
          <w:sz w:val="20"/>
          <w:szCs w:val="20"/>
        </w:rPr>
        <w:t xml:space="preserve"> (</w:t>
      </w:r>
      <w:r w:rsidR="00EA7B72" w:rsidRPr="00EA7B72">
        <w:rPr>
          <w:rFonts w:ascii="Helvetica" w:hAnsi="Helvetica"/>
          <w:i/>
          <w:sz w:val="20"/>
          <w:szCs w:val="20"/>
        </w:rPr>
        <w:t>nota bene :</w:t>
      </w:r>
      <w:r w:rsidR="00EA7B72">
        <w:rPr>
          <w:rFonts w:ascii="Helvetica" w:hAnsi="Helvetica"/>
          <w:sz w:val="20"/>
          <w:szCs w:val="20"/>
        </w:rPr>
        <w:t xml:space="preserve"> ces liens ne semblent pas fonctionnels)</w:t>
      </w:r>
    </w:p>
    <w:p w14:paraId="65C0655D" w14:textId="4907C176" w:rsidR="00256CB1" w:rsidRDefault="00256CB1" w:rsidP="00256CB1">
      <w:pPr>
        <w:pStyle w:val="Paragraphedeliste"/>
        <w:numPr>
          <w:ilvl w:val="0"/>
          <w:numId w:val="48"/>
        </w:numPr>
        <w:jc w:val="both"/>
        <w:rPr>
          <w:rFonts w:ascii="Helvetica" w:hAnsi="Helvetica"/>
          <w:sz w:val="20"/>
          <w:szCs w:val="20"/>
        </w:rPr>
      </w:pPr>
      <w:r>
        <w:rPr>
          <w:rFonts w:ascii="Helvetica" w:hAnsi="Helvetica"/>
          <w:sz w:val="20"/>
          <w:szCs w:val="20"/>
        </w:rPr>
        <w:t>L’identité de la personne ayant ajouté le rapport à la bibliothèque partagée et la date d’ajout (</w:t>
      </w:r>
      <w:r>
        <w:rPr>
          <w:rFonts w:ascii="Helvetica" w:hAnsi="Helvetica"/>
          <w:i/>
          <w:sz w:val="20"/>
          <w:szCs w:val="20"/>
        </w:rPr>
        <w:t xml:space="preserve">nota bene : </w:t>
      </w:r>
      <w:r>
        <w:rPr>
          <w:rFonts w:ascii="Helvetica" w:hAnsi="Helvetica"/>
          <w:sz w:val="20"/>
          <w:szCs w:val="20"/>
        </w:rPr>
        <w:t>cette personne n’est pas forcément celle qui a créé ce rapport)</w:t>
      </w:r>
    </w:p>
    <w:p w14:paraId="7623E657" w14:textId="3CA1A6B5" w:rsidR="00256CB1" w:rsidRDefault="00256CB1" w:rsidP="00256CB1">
      <w:pPr>
        <w:pStyle w:val="Paragraphedeliste"/>
        <w:numPr>
          <w:ilvl w:val="0"/>
          <w:numId w:val="48"/>
        </w:numPr>
        <w:jc w:val="both"/>
        <w:rPr>
          <w:rFonts w:ascii="Helvetica" w:hAnsi="Helvetica"/>
          <w:sz w:val="20"/>
          <w:szCs w:val="20"/>
        </w:rPr>
      </w:pPr>
      <w:r>
        <w:rPr>
          <w:rFonts w:ascii="Helvetica" w:hAnsi="Helvetica"/>
          <w:sz w:val="20"/>
          <w:szCs w:val="20"/>
        </w:rPr>
        <w:t>L’identité de la dernière personne ayant modifié les données associées à ce rapport, et la date de cette dernière modification (</w:t>
      </w:r>
      <w:r>
        <w:rPr>
          <w:rFonts w:ascii="Helvetica" w:hAnsi="Helvetica"/>
          <w:i/>
          <w:sz w:val="20"/>
          <w:szCs w:val="20"/>
        </w:rPr>
        <w:t xml:space="preserve">nota bene : </w:t>
      </w:r>
      <w:r>
        <w:rPr>
          <w:rFonts w:ascii="Helvetica" w:hAnsi="Helvetica"/>
          <w:sz w:val="20"/>
          <w:szCs w:val="20"/>
        </w:rPr>
        <w:t>cette personne n’a pas forcément modifié le rapport)</w:t>
      </w:r>
    </w:p>
    <w:p w14:paraId="359650A9" w14:textId="5E8876AE" w:rsidR="00256CB1" w:rsidRDefault="00256CB1" w:rsidP="00256CB1">
      <w:pPr>
        <w:pStyle w:val="Paragraphedeliste"/>
        <w:numPr>
          <w:ilvl w:val="0"/>
          <w:numId w:val="48"/>
        </w:numPr>
        <w:jc w:val="both"/>
        <w:rPr>
          <w:rFonts w:ascii="Helvetica" w:hAnsi="Helvetica"/>
          <w:sz w:val="20"/>
          <w:szCs w:val="20"/>
        </w:rPr>
      </w:pPr>
      <w:r>
        <w:rPr>
          <w:rFonts w:ascii="Helvetica" w:hAnsi="Helvetica"/>
          <w:sz w:val="20"/>
          <w:szCs w:val="20"/>
        </w:rPr>
        <w:t>Le type de rapport (en règle générale, rapport ou tableau de bord) et l’indication éventuelle de la configuration d’un envoi planifié</w:t>
      </w:r>
      <w:r w:rsidR="00DB7AF3">
        <w:rPr>
          <w:rFonts w:ascii="Helvetica" w:hAnsi="Helvetica"/>
          <w:sz w:val="20"/>
          <w:szCs w:val="20"/>
        </w:rPr>
        <w:t xml:space="preserve"> et/ou de la configuration du rapport comme widget</w:t>
      </w:r>
    </w:p>
    <w:p w14:paraId="7C29195D" w14:textId="3AA60C85" w:rsidR="00256CB1" w:rsidRDefault="00256CB1" w:rsidP="00256CB1">
      <w:pPr>
        <w:jc w:val="both"/>
        <w:rPr>
          <w:rFonts w:ascii="Helvetica" w:hAnsi="Helvetica"/>
          <w:sz w:val="20"/>
          <w:szCs w:val="20"/>
        </w:rPr>
      </w:pPr>
      <w:r>
        <w:rPr>
          <w:rFonts w:ascii="Helvetica" w:hAnsi="Helvetica"/>
          <w:sz w:val="20"/>
          <w:szCs w:val="20"/>
        </w:rPr>
        <w:t xml:space="preserve">Un clic sur un rapport permet d’ouvrir l’écran en </w:t>
      </w:r>
      <w:r w:rsidRPr="00256CB1">
        <w:rPr>
          <w:rFonts w:ascii="Helvetica" w:hAnsi="Helvetica"/>
          <w:i/>
          <w:sz w:val="20"/>
          <w:szCs w:val="20"/>
        </w:rPr>
        <w:t xml:space="preserve">split </w:t>
      </w:r>
      <w:proofErr w:type="spellStart"/>
      <w:r w:rsidRPr="00256CB1">
        <w:rPr>
          <w:rFonts w:ascii="Helvetica" w:hAnsi="Helvetica"/>
          <w:i/>
          <w:sz w:val="20"/>
          <w:szCs w:val="20"/>
        </w:rPr>
        <w:t>screen</w:t>
      </w:r>
      <w:proofErr w:type="spellEnd"/>
      <w:r>
        <w:rPr>
          <w:rFonts w:ascii="Helvetica" w:hAnsi="Helvetica"/>
          <w:sz w:val="20"/>
          <w:szCs w:val="20"/>
        </w:rPr>
        <w:t xml:space="preserve"> avec à gauche la liste des rapports partagés et à droite le détail du rapport sur lequel on vient de cliquer : </w:t>
      </w:r>
    </w:p>
    <w:p w14:paraId="2A44CC09" w14:textId="56BDC371" w:rsidR="003A43D5" w:rsidRDefault="00256CB1" w:rsidP="00EF100D">
      <w:pPr>
        <w:pStyle w:val="Paragraphedeliste"/>
        <w:numPr>
          <w:ilvl w:val="0"/>
          <w:numId w:val="49"/>
        </w:numPr>
        <w:jc w:val="both"/>
        <w:rPr>
          <w:rFonts w:ascii="Helvetica" w:hAnsi="Helvetica"/>
          <w:sz w:val="20"/>
          <w:szCs w:val="20"/>
        </w:rPr>
      </w:pPr>
      <w:r w:rsidRPr="00DB7AF3">
        <w:rPr>
          <w:rFonts w:ascii="Helvetica" w:hAnsi="Helvetica"/>
          <w:sz w:val="20"/>
          <w:szCs w:val="20"/>
        </w:rPr>
        <w:t>Une URL</w:t>
      </w:r>
    </w:p>
    <w:p w14:paraId="00A65C55" w14:textId="71A23B97" w:rsidR="00DB7AF3" w:rsidRDefault="00DB7AF3" w:rsidP="00EF100D">
      <w:pPr>
        <w:pStyle w:val="Paragraphedeliste"/>
        <w:numPr>
          <w:ilvl w:val="0"/>
          <w:numId w:val="49"/>
        </w:numPr>
        <w:jc w:val="both"/>
        <w:rPr>
          <w:rFonts w:ascii="Helvetica" w:hAnsi="Helvetica"/>
          <w:sz w:val="20"/>
          <w:szCs w:val="20"/>
        </w:rPr>
      </w:pPr>
      <w:r>
        <w:rPr>
          <w:rFonts w:ascii="Helvetica" w:hAnsi="Helvetica"/>
          <w:sz w:val="20"/>
          <w:szCs w:val="20"/>
        </w:rPr>
        <w:t>La fréquence d’envoi, dans le cas d’un rapport planifié</w:t>
      </w:r>
      <w:r w:rsidR="00E111F4">
        <w:rPr>
          <w:rFonts w:ascii="Helvetica" w:hAnsi="Helvetica"/>
          <w:sz w:val="20"/>
          <w:szCs w:val="20"/>
        </w:rPr>
        <w:t xml:space="preserve"> (</w:t>
      </w:r>
      <w:r w:rsidR="00E111F4" w:rsidRPr="00E111F4">
        <w:rPr>
          <w:rFonts w:ascii="Helvetica" w:hAnsi="Helvetica"/>
          <w:i/>
          <w:sz w:val="20"/>
          <w:szCs w:val="20"/>
        </w:rPr>
        <w:t>nota bene :</w:t>
      </w:r>
      <w:r w:rsidR="00E111F4">
        <w:rPr>
          <w:rFonts w:ascii="Helvetica" w:hAnsi="Helvetica"/>
          <w:sz w:val="20"/>
          <w:szCs w:val="20"/>
        </w:rPr>
        <w:t xml:space="preserve"> la fonction d’auto-abonnement à un rapport </w:t>
      </w:r>
      <w:r w:rsidR="00EA7B72">
        <w:rPr>
          <w:rFonts w:ascii="Helvetica" w:hAnsi="Helvetica"/>
          <w:sz w:val="20"/>
          <w:szCs w:val="20"/>
        </w:rPr>
        <w:t>n’est pas proposée pour les rapports dont l’envoi a été planifié dans l’ancienne interface</w:t>
      </w:r>
      <w:r w:rsidR="00624CF4">
        <w:rPr>
          <w:rFonts w:ascii="Helvetica" w:hAnsi="Helvetica"/>
          <w:sz w:val="20"/>
          <w:szCs w:val="20"/>
        </w:rPr>
        <w:t xml:space="preserve"> – elle ne l’est que dans les rapports nouvellement planifiés ou </w:t>
      </w:r>
      <w:proofErr w:type="spellStart"/>
      <w:r w:rsidR="00624CF4">
        <w:rPr>
          <w:rFonts w:ascii="Helvetica" w:hAnsi="Helvetica"/>
          <w:sz w:val="20"/>
          <w:szCs w:val="20"/>
        </w:rPr>
        <w:t>re</w:t>
      </w:r>
      <w:proofErr w:type="spellEnd"/>
      <w:r w:rsidR="00624CF4">
        <w:rPr>
          <w:rFonts w:ascii="Helvetica" w:hAnsi="Helvetica"/>
          <w:sz w:val="20"/>
          <w:szCs w:val="20"/>
        </w:rPr>
        <w:t>-planifiés dans cette nouvelle interface</w:t>
      </w:r>
      <w:r w:rsidR="00E111F4">
        <w:rPr>
          <w:rFonts w:ascii="Helvetica" w:hAnsi="Helvetica"/>
          <w:sz w:val="20"/>
          <w:szCs w:val="20"/>
        </w:rPr>
        <w:t>)</w:t>
      </w:r>
    </w:p>
    <w:p w14:paraId="0C0441AB" w14:textId="0222C8AB" w:rsidR="00DB7AF3" w:rsidRDefault="00DB7AF3" w:rsidP="00DB7AF3">
      <w:pPr>
        <w:jc w:val="both"/>
        <w:rPr>
          <w:rFonts w:ascii="Helvetica" w:hAnsi="Helvetica"/>
          <w:sz w:val="20"/>
          <w:szCs w:val="20"/>
        </w:rPr>
      </w:pPr>
      <w:r>
        <w:rPr>
          <w:rFonts w:ascii="Helvetica" w:hAnsi="Helvetica"/>
          <w:sz w:val="20"/>
          <w:szCs w:val="20"/>
        </w:rPr>
        <w:t xml:space="preserve">C’est depuis cet écran qu’est fourni </w:t>
      </w:r>
      <w:r w:rsidR="00EA7B72">
        <w:rPr>
          <w:rFonts w:ascii="Helvetica" w:hAnsi="Helvetica"/>
          <w:sz w:val="20"/>
          <w:szCs w:val="20"/>
        </w:rPr>
        <w:t>le lien d’accès vers le rapport, ainsi qu’une prévisualisation de celui-ci.</w:t>
      </w:r>
      <w:r>
        <w:rPr>
          <w:rFonts w:ascii="Helvetica" w:hAnsi="Helvetica"/>
          <w:sz w:val="20"/>
          <w:szCs w:val="20"/>
        </w:rPr>
        <w:t xml:space="preserve"> </w:t>
      </w:r>
    </w:p>
    <w:p w14:paraId="06F4F4BD" w14:textId="6B59E956" w:rsidR="007C4987" w:rsidRDefault="00EA7B72" w:rsidP="00DB7AF3">
      <w:pPr>
        <w:ind w:left="-851"/>
        <w:jc w:val="both"/>
        <w:rPr>
          <w:rFonts w:ascii="Helvetica" w:hAnsi="Helvetica"/>
          <w:sz w:val="20"/>
          <w:szCs w:val="20"/>
        </w:rPr>
      </w:pPr>
      <w:r>
        <w:rPr>
          <w:rFonts w:ascii="Helvetica" w:hAnsi="Helvetica"/>
          <w:noProof/>
          <w:sz w:val="20"/>
          <w:szCs w:val="20"/>
          <w:lang w:eastAsia="fr-FR"/>
        </w:rPr>
        <w:drawing>
          <wp:inline distT="0" distB="0" distL="0" distR="0" wp14:anchorId="735979E8" wp14:editId="37DF7013">
            <wp:extent cx="6905625" cy="32289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1-31_10044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5625" cy="3228975"/>
                    </a:xfrm>
                    <a:prstGeom prst="rect">
                      <a:avLst/>
                    </a:prstGeom>
                  </pic:spPr>
                </pic:pic>
              </a:graphicData>
            </a:graphic>
          </wp:inline>
        </w:drawing>
      </w:r>
    </w:p>
    <w:p w14:paraId="7A583B69" w14:textId="4D64CD38" w:rsidR="007C4987" w:rsidRDefault="00DB7AF3"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Depuis cet écran également, il est possible de faire défiler les rapports précédents ou suivants à l’aide des flèches Haut/Bas situées en haut à droite. </w:t>
      </w:r>
    </w:p>
    <w:p w14:paraId="2F21C01A" w14:textId="063A39AA" w:rsidR="00DB7AF3" w:rsidRDefault="00DB7AF3"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Il est possible d’opter pour une vue complète, plutôt que pour un écran partagé. Pour cela, on cliquera sur l’icône située tout en haut à droite et on sélectionnera sur Vue de liste (ou sur Diviser la vue, pour revenir à l’écran partagé). </w:t>
      </w:r>
    </w:p>
    <w:p w14:paraId="02C2E28A" w14:textId="54F22E79" w:rsidR="00DB7AF3" w:rsidRDefault="00DB7AF3" w:rsidP="00DB7AF3">
      <w:pPr>
        <w:jc w:val="center"/>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69EDC6B3" wp14:editId="2262BB50">
            <wp:extent cx="2705100" cy="2247265"/>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era Instantané_2023-01-24_143930_univ-toulouse-psb.alma.exlibrisgroup.com.png"/>
                    <pic:cNvPicPr/>
                  </pic:nvPicPr>
                  <pic:blipFill>
                    <a:blip r:embed="rId27">
                      <a:extLst>
                        <a:ext uri="{28A0092B-C50C-407E-A947-70E740481C1C}">
                          <a14:useLocalDpi xmlns:a14="http://schemas.microsoft.com/office/drawing/2010/main" val="0"/>
                        </a:ext>
                      </a:extLst>
                    </a:blip>
                    <a:stretch>
                      <a:fillRect/>
                    </a:stretch>
                  </pic:blipFill>
                  <pic:spPr>
                    <a:xfrm>
                      <a:off x="0" y="0"/>
                      <a:ext cx="2720039" cy="2259676"/>
                    </a:xfrm>
                    <a:prstGeom prst="rect">
                      <a:avLst/>
                    </a:prstGeom>
                  </pic:spPr>
                </pic:pic>
              </a:graphicData>
            </a:graphic>
          </wp:inline>
        </w:drawing>
      </w:r>
    </w:p>
    <w:p w14:paraId="75FB8055" w14:textId="77777777" w:rsidR="00DB7AF3" w:rsidRDefault="00DB7AF3" w:rsidP="00DB7AF3">
      <w:pPr>
        <w:jc w:val="both"/>
        <w:rPr>
          <w:i/>
          <w:sz w:val="28"/>
          <w:szCs w:val="32"/>
        </w:rPr>
      </w:pPr>
    </w:p>
    <w:p w14:paraId="0C4BCA0D" w14:textId="5F2E1243" w:rsidR="00DB7AF3" w:rsidRPr="003A43D5" w:rsidRDefault="00DB7AF3" w:rsidP="00DB7AF3">
      <w:pPr>
        <w:jc w:val="both"/>
        <w:rPr>
          <w:i/>
          <w:sz w:val="28"/>
          <w:szCs w:val="32"/>
        </w:rPr>
      </w:pPr>
      <w:r>
        <w:rPr>
          <w:i/>
          <w:sz w:val="28"/>
          <w:szCs w:val="32"/>
        </w:rPr>
        <w:t>Constituer sa bibliothèque de rapports</w:t>
      </w:r>
    </w:p>
    <w:p w14:paraId="14075319" w14:textId="138265EF" w:rsidR="00DB7AF3" w:rsidRDefault="00DB7AF3" w:rsidP="00DB7AF3">
      <w:pPr>
        <w:jc w:val="both"/>
        <w:rPr>
          <w:rFonts w:ascii="Helvetica" w:hAnsi="Helvetica"/>
          <w:sz w:val="20"/>
          <w:szCs w:val="20"/>
        </w:rPr>
      </w:pPr>
      <w:r>
        <w:rPr>
          <w:rFonts w:ascii="Helvetica" w:hAnsi="Helvetica"/>
          <w:sz w:val="20"/>
          <w:szCs w:val="20"/>
        </w:rPr>
        <w:t xml:space="preserve">C’est la nouveauté principale : la possibilité de constituer sa propre bibliothèque de rapports par sélection de rapports, dans la page précédente. </w:t>
      </w:r>
    </w:p>
    <w:p w14:paraId="0C8D4663" w14:textId="038D07C2" w:rsidR="00DB7AF3" w:rsidRDefault="00DB7AF3" w:rsidP="00DB7AF3">
      <w:pPr>
        <w:jc w:val="both"/>
        <w:rPr>
          <w:rFonts w:ascii="Helvetica" w:hAnsi="Helvetica"/>
          <w:sz w:val="20"/>
          <w:szCs w:val="20"/>
        </w:rPr>
      </w:pPr>
      <w:r>
        <w:rPr>
          <w:rFonts w:ascii="Helvetica" w:hAnsi="Helvetica"/>
          <w:sz w:val="20"/>
          <w:szCs w:val="20"/>
        </w:rPr>
        <w:t xml:space="preserve">Cette sélection se fait rapport par rapport en cliquant sur Ajouter aux </w:t>
      </w:r>
      <w:r w:rsidR="00EF100D">
        <w:rPr>
          <w:rFonts w:ascii="Helvetica" w:hAnsi="Helvetica"/>
          <w:sz w:val="20"/>
          <w:szCs w:val="20"/>
        </w:rPr>
        <w:t xml:space="preserve">favoris. Comme on le voit dans la capture d’écran suivante, les rapports ajoutés aux favoris sont désignés par une étiquette de gestion, un bouton Supprimer des favoris permettant de les en retirer. </w:t>
      </w:r>
    </w:p>
    <w:p w14:paraId="546F4497" w14:textId="6D0A9DD3" w:rsidR="00EF100D" w:rsidRDefault="00EF100D" w:rsidP="00DB7AF3">
      <w:pPr>
        <w:jc w:val="both"/>
        <w:rPr>
          <w:rFonts w:ascii="Helvetica" w:hAnsi="Helvetica"/>
          <w:sz w:val="20"/>
          <w:szCs w:val="20"/>
        </w:rPr>
      </w:pPr>
      <w:r>
        <w:rPr>
          <w:rFonts w:ascii="Helvetica" w:hAnsi="Helvetica"/>
          <w:noProof/>
          <w:sz w:val="20"/>
          <w:szCs w:val="20"/>
          <w:lang w:eastAsia="fr-FR"/>
        </w:rPr>
        <w:drawing>
          <wp:inline distT="0" distB="0" distL="0" distR="0" wp14:anchorId="4B5594D3" wp14:editId="02290606">
            <wp:extent cx="5760720" cy="1445895"/>
            <wp:effectExtent l="0" t="0" r="0" b="19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era Instantané_2023-01-24_144421_univ-toulouse-psb.alma.exlibrisgroup.co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445895"/>
                    </a:xfrm>
                    <a:prstGeom prst="rect">
                      <a:avLst/>
                    </a:prstGeom>
                  </pic:spPr>
                </pic:pic>
              </a:graphicData>
            </a:graphic>
          </wp:inline>
        </w:drawing>
      </w:r>
    </w:p>
    <w:p w14:paraId="08CCF522" w14:textId="674C69AA" w:rsidR="00EF100D" w:rsidRDefault="00EF100D" w:rsidP="00DB7AF3">
      <w:pPr>
        <w:jc w:val="both"/>
        <w:rPr>
          <w:rFonts w:ascii="Helvetica" w:hAnsi="Helvetica"/>
          <w:sz w:val="20"/>
          <w:szCs w:val="20"/>
        </w:rPr>
      </w:pPr>
      <w:r>
        <w:rPr>
          <w:rFonts w:ascii="Helvetica" w:hAnsi="Helvetica"/>
          <w:sz w:val="20"/>
          <w:szCs w:val="20"/>
        </w:rPr>
        <w:t xml:space="preserve">Il est possible de sélectionner simultanément plusieurs rapports, cependant il ne semble pas possible d’ajouter tout un lot de rapports à ces favoris, du moins pour le moment. </w:t>
      </w:r>
    </w:p>
    <w:p w14:paraId="797E82A2" w14:textId="2B5259F2" w:rsidR="00EF100D" w:rsidRDefault="00EF100D" w:rsidP="00DB7AF3">
      <w:pPr>
        <w:jc w:val="both"/>
        <w:rPr>
          <w:rFonts w:ascii="Helvetica" w:hAnsi="Helvetica"/>
          <w:sz w:val="20"/>
          <w:szCs w:val="20"/>
        </w:rPr>
      </w:pPr>
    </w:p>
    <w:p w14:paraId="6FBCFF37" w14:textId="425AEEC9" w:rsidR="00EF100D" w:rsidRPr="003A43D5" w:rsidRDefault="00EF100D" w:rsidP="00EF100D">
      <w:pPr>
        <w:jc w:val="both"/>
        <w:rPr>
          <w:i/>
          <w:sz w:val="28"/>
          <w:szCs w:val="32"/>
        </w:rPr>
      </w:pPr>
      <w:r>
        <w:rPr>
          <w:i/>
          <w:sz w:val="28"/>
          <w:szCs w:val="32"/>
        </w:rPr>
        <w:t>Utiliser et gérer sa bibliothèque de rapports personnelle</w:t>
      </w:r>
    </w:p>
    <w:p w14:paraId="115157EF" w14:textId="35AD4373" w:rsidR="00EF100D" w:rsidRDefault="00EF100D" w:rsidP="00EF100D">
      <w:pPr>
        <w:jc w:val="both"/>
        <w:rPr>
          <w:rFonts w:ascii="Helvetica" w:hAnsi="Helvetica"/>
          <w:sz w:val="20"/>
          <w:szCs w:val="20"/>
        </w:rPr>
      </w:pPr>
      <w:r>
        <w:rPr>
          <w:rFonts w:ascii="Helvetica" w:hAnsi="Helvetica"/>
          <w:sz w:val="20"/>
          <w:szCs w:val="20"/>
        </w:rPr>
        <w:t xml:space="preserve">Chaque rapport désigné comme favori est listé dans le menu </w:t>
      </w:r>
      <w:proofErr w:type="spellStart"/>
      <w:r>
        <w:rPr>
          <w:rFonts w:ascii="Helvetica" w:hAnsi="Helvetica"/>
          <w:sz w:val="20"/>
          <w:szCs w:val="20"/>
        </w:rPr>
        <w:t>Analytics</w:t>
      </w:r>
      <w:proofErr w:type="spellEnd"/>
      <w:r>
        <w:rPr>
          <w:rFonts w:ascii="Helvetica" w:hAnsi="Helvetica"/>
          <w:sz w:val="20"/>
          <w:szCs w:val="20"/>
        </w:rPr>
        <w:t xml:space="preserve"> d’Alma. Cette liste peut être réordonnée par cliqué-glissé. Il est possible de rechercher un rapport en utilisant la barre de recherche située au-dessus. </w:t>
      </w:r>
    </w:p>
    <w:p w14:paraId="53016EB7" w14:textId="4C9419A5" w:rsidR="00EF100D" w:rsidRDefault="00EF100D" w:rsidP="00EF100D">
      <w:pPr>
        <w:jc w:val="both"/>
        <w:rPr>
          <w:rFonts w:ascii="Helvetica" w:hAnsi="Helvetica"/>
          <w:sz w:val="20"/>
          <w:szCs w:val="20"/>
        </w:rPr>
      </w:pPr>
      <w:r>
        <w:rPr>
          <w:rFonts w:ascii="Helvetica" w:hAnsi="Helvetica"/>
          <w:noProof/>
          <w:sz w:val="20"/>
          <w:szCs w:val="20"/>
          <w:lang w:eastAsia="fr-FR"/>
        </w:rPr>
        <w:drawing>
          <wp:inline distT="0" distB="0" distL="0" distR="0" wp14:anchorId="68A8A661" wp14:editId="0933661C">
            <wp:extent cx="5760720" cy="6654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pera Instantané_2023-01-24_144741_univ-toulouse-psb.alma.exlibrisgroup.com.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6654800"/>
                    </a:xfrm>
                    <a:prstGeom prst="rect">
                      <a:avLst/>
                    </a:prstGeom>
                  </pic:spPr>
                </pic:pic>
              </a:graphicData>
            </a:graphic>
          </wp:inline>
        </w:drawing>
      </w:r>
    </w:p>
    <w:p w14:paraId="0F6D02E0" w14:textId="328D0738" w:rsidR="00EF100D" w:rsidRDefault="00EF100D" w:rsidP="00EF100D">
      <w:pPr>
        <w:jc w:val="both"/>
        <w:rPr>
          <w:rFonts w:ascii="Helvetica" w:hAnsi="Helvetica"/>
          <w:sz w:val="20"/>
          <w:szCs w:val="20"/>
        </w:rPr>
      </w:pPr>
    </w:p>
    <w:p w14:paraId="675ABD31" w14:textId="5FF7D6DE" w:rsidR="00EF100D" w:rsidRDefault="00EF100D" w:rsidP="00EF100D">
      <w:pPr>
        <w:jc w:val="both"/>
        <w:rPr>
          <w:rFonts w:ascii="Helvetica" w:hAnsi="Helvetica"/>
          <w:sz w:val="20"/>
          <w:szCs w:val="20"/>
        </w:rPr>
      </w:pPr>
      <w:r>
        <w:rPr>
          <w:rFonts w:ascii="Helvetica" w:hAnsi="Helvetica"/>
          <w:sz w:val="20"/>
          <w:szCs w:val="20"/>
        </w:rPr>
        <w:t xml:space="preserve">Un rapport peut être supprimé des favoris en cliquant sur la croix qui apparait à droite lorsque l’on passe la souris sur le rapport en question. </w:t>
      </w:r>
    </w:p>
    <w:p w14:paraId="17EC433E" w14:textId="4F7526CB" w:rsidR="00EF100D" w:rsidRDefault="00EF100D" w:rsidP="00DB7AF3">
      <w:pPr>
        <w:jc w:val="both"/>
        <w:rPr>
          <w:rFonts w:ascii="Helvetica" w:eastAsiaTheme="majorEastAsia" w:hAnsi="Helvetica" w:cstheme="majorBidi"/>
          <w:sz w:val="20"/>
          <w:szCs w:val="20"/>
        </w:rPr>
      </w:pPr>
    </w:p>
    <w:p w14:paraId="2B209005" w14:textId="1D580C16" w:rsidR="00EF100D" w:rsidRPr="003A43D5" w:rsidRDefault="00EF100D" w:rsidP="00EF100D">
      <w:pPr>
        <w:jc w:val="both"/>
        <w:rPr>
          <w:i/>
          <w:sz w:val="28"/>
          <w:szCs w:val="32"/>
        </w:rPr>
      </w:pPr>
      <w:r>
        <w:rPr>
          <w:i/>
          <w:sz w:val="28"/>
          <w:szCs w:val="32"/>
        </w:rPr>
        <w:t>Rapports prédéfinis</w:t>
      </w:r>
    </w:p>
    <w:p w14:paraId="1B41E3D0" w14:textId="0847B9AE" w:rsidR="00EF100D" w:rsidRDefault="00EF100D" w:rsidP="00EF100D">
      <w:pPr>
        <w:jc w:val="both"/>
        <w:rPr>
          <w:rFonts w:ascii="Helvetica" w:hAnsi="Helvetica"/>
          <w:sz w:val="20"/>
          <w:szCs w:val="20"/>
        </w:rPr>
      </w:pPr>
      <w:r>
        <w:rPr>
          <w:rFonts w:ascii="Helvetica" w:hAnsi="Helvetica"/>
          <w:sz w:val="20"/>
          <w:szCs w:val="20"/>
        </w:rPr>
        <w:t xml:space="preserve">Ex </w:t>
      </w:r>
      <w:proofErr w:type="spellStart"/>
      <w:r>
        <w:rPr>
          <w:rFonts w:ascii="Helvetica" w:hAnsi="Helvetica"/>
          <w:sz w:val="20"/>
          <w:szCs w:val="20"/>
        </w:rPr>
        <w:t>Libris</w:t>
      </w:r>
      <w:proofErr w:type="spellEnd"/>
      <w:r>
        <w:rPr>
          <w:rFonts w:ascii="Helvetica" w:hAnsi="Helvetica"/>
          <w:sz w:val="20"/>
          <w:szCs w:val="20"/>
        </w:rPr>
        <w:t xml:space="preserve"> fournit par défaut une bibliothèque de rapport prédéfinis. Contrairement à ce qui prévalait jusqu’à présent, ces rapports ne sont plus mêlés avec les rapports créés par l’institution et partagés en son sein. Ils sont donc accessibles à partir d’un lien distinct, intitulé Rapports prédéfinis et disponible depuis le menu </w:t>
      </w:r>
      <w:proofErr w:type="spellStart"/>
      <w:r>
        <w:rPr>
          <w:rFonts w:ascii="Helvetica" w:hAnsi="Helvetica"/>
          <w:sz w:val="20"/>
          <w:szCs w:val="20"/>
        </w:rPr>
        <w:t>Analytics</w:t>
      </w:r>
      <w:proofErr w:type="spellEnd"/>
      <w:r>
        <w:rPr>
          <w:rFonts w:ascii="Helvetica" w:hAnsi="Helvetica"/>
          <w:sz w:val="20"/>
          <w:szCs w:val="20"/>
        </w:rPr>
        <w:t xml:space="preserve"> d’Alma. </w:t>
      </w:r>
    </w:p>
    <w:p w14:paraId="42AB0966" w14:textId="4A18BAE2" w:rsidR="00EF100D" w:rsidRDefault="00EF100D" w:rsidP="00EF100D">
      <w:pPr>
        <w:jc w:val="both"/>
        <w:rPr>
          <w:rFonts w:ascii="Helvetica" w:hAnsi="Helvetica"/>
          <w:sz w:val="20"/>
          <w:szCs w:val="20"/>
        </w:rPr>
      </w:pPr>
      <w:r>
        <w:rPr>
          <w:rFonts w:ascii="Helvetica" w:hAnsi="Helvetica"/>
          <w:sz w:val="20"/>
          <w:szCs w:val="20"/>
        </w:rPr>
        <w:t xml:space="preserve">L’ergonomie générale de cette page est similaire à celle qui liste les rapports partagés au niveau de l’institution. Ces rapports prédéfinis peuvent être également ajoutés comme favoris dans son menu </w:t>
      </w:r>
      <w:proofErr w:type="spellStart"/>
      <w:r>
        <w:rPr>
          <w:rFonts w:ascii="Helvetica" w:hAnsi="Helvetica"/>
          <w:sz w:val="20"/>
          <w:szCs w:val="20"/>
        </w:rPr>
        <w:t>Analytics</w:t>
      </w:r>
      <w:proofErr w:type="spellEnd"/>
      <w:r>
        <w:rPr>
          <w:rFonts w:ascii="Helvetica" w:hAnsi="Helvetica"/>
          <w:sz w:val="20"/>
          <w:szCs w:val="20"/>
        </w:rPr>
        <w:t xml:space="preserve"> personnels. </w:t>
      </w:r>
    </w:p>
    <w:p w14:paraId="31C63DA7" w14:textId="1642866D" w:rsidR="00EF100D" w:rsidRDefault="00EF100D" w:rsidP="00EF100D">
      <w:pPr>
        <w:ind w:left="-851"/>
        <w:jc w:val="both"/>
        <w:rPr>
          <w:rFonts w:ascii="Helvetica" w:hAnsi="Helvetica"/>
          <w:sz w:val="20"/>
          <w:szCs w:val="20"/>
        </w:rPr>
      </w:pPr>
      <w:r>
        <w:rPr>
          <w:rFonts w:ascii="Helvetica" w:hAnsi="Helvetica"/>
          <w:noProof/>
          <w:sz w:val="20"/>
          <w:szCs w:val="20"/>
          <w:lang w:eastAsia="fr-FR"/>
        </w:rPr>
        <w:drawing>
          <wp:inline distT="0" distB="0" distL="0" distR="0" wp14:anchorId="112BBF18" wp14:editId="03925CE4">
            <wp:extent cx="6762750" cy="30861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pera Instantané_2023-01-24_145128_univ-toulouse-psb.alma.exlibrisgroup.com.png"/>
                    <pic:cNvPicPr/>
                  </pic:nvPicPr>
                  <pic:blipFill>
                    <a:blip r:embed="rId30">
                      <a:extLst>
                        <a:ext uri="{28A0092B-C50C-407E-A947-70E740481C1C}">
                          <a14:useLocalDpi xmlns:a14="http://schemas.microsoft.com/office/drawing/2010/main" val="0"/>
                        </a:ext>
                      </a:extLst>
                    </a:blip>
                    <a:stretch>
                      <a:fillRect/>
                    </a:stretch>
                  </pic:blipFill>
                  <pic:spPr>
                    <a:xfrm>
                      <a:off x="0" y="0"/>
                      <a:ext cx="6762750" cy="3086100"/>
                    </a:xfrm>
                    <a:prstGeom prst="rect">
                      <a:avLst/>
                    </a:prstGeom>
                  </pic:spPr>
                </pic:pic>
              </a:graphicData>
            </a:graphic>
          </wp:inline>
        </w:drawing>
      </w:r>
    </w:p>
    <w:p w14:paraId="5C5E1C47" w14:textId="77777777" w:rsidR="00EF100D" w:rsidRDefault="00EF100D" w:rsidP="00DB7AF3">
      <w:pPr>
        <w:jc w:val="both"/>
        <w:rPr>
          <w:rFonts w:ascii="Helvetica" w:eastAsiaTheme="majorEastAsia" w:hAnsi="Helvetica" w:cstheme="majorBidi"/>
          <w:sz w:val="20"/>
          <w:szCs w:val="20"/>
        </w:rPr>
      </w:pPr>
    </w:p>
    <w:p w14:paraId="139B2B2D" w14:textId="77777777" w:rsidR="00EF100D" w:rsidRDefault="00EF100D" w:rsidP="00EF100D">
      <w:pPr>
        <w:jc w:val="both"/>
        <w:rPr>
          <w:rFonts w:ascii="Helvetica" w:eastAsiaTheme="majorEastAsia" w:hAnsi="Helvetica" w:cstheme="majorBidi"/>
          <w:sz w:val="20"/>
          <w:szCs w:val="20"/>
        </w:rPr>
      </w:pPr>
    </w:p>
    <w:p w14:paraId="42D42368" w14:textId="1A8CA3C8" w:rsidR="00EF100D" w:rsidRDefault="00EF100D" w:rsidP="00EF100D">
      <w:pPr>
        <w:jc w:val="both"/>
        <w:rPr>
          <w:i/>
          <w:sz w:val="28"/>
          <w:szCs w:val="32"/>
        </w:rPr>
      </w:pPr>
      <w:r>
        <w:rPr>
          <w:i/>
          <w:sz w:val="28"/>
          <w:szCs w:val="32"/>
        </w:rPr>
        <w:t xml:space="preserve">Le menu </w:t>
      </w:r>
      <w:proofErr w:type="spellStart"/>
      <w:r>
        <w:rPr>
          <w:i/>
          <w:sz w:val="28"/>
          <w:szCs w:val="32"/>
        </w:rPr>
        <w:t>Analytics</w:t>
      </w:r>
      <w:proofErr w:type="spellEnd"/>
      <w:r>
        <w:rPr>
          <w:i/>
          <w:sz w:val="28"/>
          <w:szCs w:val="32"/>
        </w:rPr>
        <w:t xml:space="preserve"> pour les utilisateurs avancés</w:t>
      </w:r>
    </w:p>
    <w:p w14:paraId="498585CB" w14:textId="6F159B03" w:rsidR="00EF100D" w:rsidRDefault="00EF100D" w:rsidP="00EF100D">
      <w:pPr>
        <w:jc w:val="both"/>
        <w:rPr>
          <w:rFonts w:ascii="Helvetica" w:hAnsi="Helvetica"/>
          <w:sz w:val="20"/>
          <w:szCs w:val="20"/>
        </w:rPr>
      </w:pPr>
      <w:r>
        <w:rPr>
          <w:rFonts w:ascii="Helvetica" w:hAnsi="Helvetica"/>
          <w:sz w:val="20"/>
          <w:szCs w:val="20"/>
        </w:rPr>
        <w:t xml:space="preserve">Les personnes qui disposent de droits d’accès sur Alma </w:t>
      </w:r>
      <w:proofErr w:type="spellStart"/>
      <w:r>
        <w:rPr>
          <w:rFonts w:ascii="Helvetica" w:hAnsi="Helvetica"/>
          <w:sz w:val="20"/>
          <w:szCs w:val="20"/>
        </w:rPr>
        <w:t>Analytics</w:t>
      </w:r>
      <w:proofErr w:type="spellEnd"/>
      <w:r>
        <w:rPr>
          <w:rFonts w:ascii="Helvetica" w:hAnsi="Helvetica"/>
          <w:sz w:val="20"/>
          <w:szCs w:val="20"/>
        </w:rPr>
        <w:t xml:space="preserve"> (rôle </w:t>
      </w:r>
      <w:r w:rsidRPr="00EF100D">
        <w:rPr>
          <w:rFonts w:ascii="Helvetica" w:hAnsi="Helvetica"/>
          <w:sz w:val="20"/>
          <w:szCs w:val="20"/>
        </w:rPr>
        <w:t>Modèles analytiques</w:t>
      </w:r>
      <w:r>
        <w:rPr>
          <w:rFonts w:ascii="Helvetica" w:hAnsi="Helvetica"/>
          <w:sz w:val="20"/>
          <w:szCs w:val="20"/>
        </w:rPr>
        <w:t xml:space="preserve">) continuent à y accéder à partir du menu </w:t>
      </w:r>
      <w:proofErr w:type="spellStart"/>
      <w:r>
        <w:rPr>
          <w:rFonts w:ascii="Helvetica" w:hAnsi="Helvetica"/>
          <w:sz w:val="20"/>
          <w:szCs w:val="20"/>
        </w:rPr>
        <w:t>Analytics</w:t>
      </w:r>
      <w:proofErr w:type="spellEnd"/>
      <w:r>
        <w:rPr>
          <w:rFonts w:ascii="Helvetica" w:hAnsi="Helvetica"/>
          <w:sz w:val="20"/>
          <w:szCs w:val="20"/>
        </w:rPr>
        <w:t xml:space="preserve"> d’Alma et plus précisément du lien marqué Accéder à Analytique, le second lien (Accéder à la visualisation des données) renvoyant vers le module de data visualisation d’OBIEE</w:t>
      </w:r>
      <w:r w:rsidR="0094021C">
        <w:rPr>
          <w:rFonts w:ascii="Helvetica" w:hAnsi="Helvetica"/>
          <w:sz w:val="20"/>
          <w:szCs w:val="20"/>
        </w:rPr>
        <w:t xml:space="preserve">, le logiciel utilisé sous le nom commercial d’Alma </w:t>
      </w:r>
      <w:proofErr w:type="spellStart"/>
      <w:r w:rsidR="0094021C">
        <w:rPr>
          <w:rFonts w:ascii="Helvetica" w:hAnsi="Helvetica"/>
          <w:sz w:val="20"/>
          <w:szCs w:val="20"/>
        </w:rPr>
        <w:t>Analytics</w:t>
      </w:r>
      <w:proofErr w:type="spellEnd"/>
      <w:r>
        <w:rPr>
          <w:rFonts w:ascii="Helvetica" w:hAnsi="Helvetica"/>
          <w:sz w:val="20"/>
          <w:szCs w:val="20"/>
        </w:rPr>
        <w:t xml:space="preserve">. </w:t>
      </w:r>
    </w:p>
    <w:p w14:paraId="2AE8C4FE" w14:textId="43372CEF" w:rsidR="006A19E1" w:rsidRDefault="006A19E1" w:rsidP="00EF100D">
      <w:pPr>
        <w:jc w:val="both"/>
        <w:rPr>
          <w:rFonts w:ascii="Helvetica" w:hAnsi="Helvetica"/>
          <w:sz w:val="20"/>
          <w:szCs w:val="20"/>
        </w:rPr>
      </w:pPr>
      <w:r>
        <w:rPr>
          <w:rFonts w:ascii="Helvetica" w:hAnsi="Helvetica"/>
          <w:sz w:val="20"/>
          <w:szCs w:val="20"/>
        </w:rPr>
        <w:t xml:space="preserve">Pour les institutions utilisatrices de Primo VE, ces liens d’accès sont doublés. </w:t>
      </w:r>
    </w:p>
    <w:p w14:paraId="4ECFC6F4" w14:textId="768C5313" w:rsidR="00EF100D" w:rsidRDefault="00EF100D" w:rsidP="00EF100D">
      <w:pPr>
        <w:jc w:val="both"/>
        <w:rPr>
          <w:rFonts w:ascii="Helvetica" w:hAnsi="Helvetica"/>
          <w:sz w:val="20"/>
          <w:szCs w:val="20"/>
        </w:rPr>
      </w:pPr>
      <w:r>
        <w:rPr>
          <w:rFonts w:ascii="Helvetica" w:hAnsi="Helvetica"/>
          <w:noProof/>
          <w:sz w:val="20"/>
          <w:szCs w:val="20"/>
          <w:lang w:eastAsia="fr-FR"/>
        </w:rPr>
        <w:drawing>
          <wp:inline distT="0" distB="0" distL="0" distR="0" wp14:anchorId="005BEAD4" wp14:editId="389BE10C">
            <wp:extent cx="5760720" cy="79629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pera Instantané_2023-01-24_145509_univ-toulouse-psb.alma.exlibrisgroup.com.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7962900"/>
                    </a:xfrm>
                    <a:prstGeom prst="rect">
                      <a:avLst/>
                    </a:prstGeom>
                  </pic:spPr>
                </pic:pic>
              </a:graphicData>
            </a:graphic>
          </wp:inline>
        </w:drawing>
      </w:r>
    </w:p>
    <w:p w14:paraId="53F19C4D" w14:textId="77777777" w:rsidR="00EF100D" w:rsidRPr="00EF100D" w:rsidRDefault="00EF100D" w:rsidP="00EF100D">
      <w:pPr>
        <w:jc w:val="both"/>
        <w:rPr>
          <w:rFonts w:ascii="Helvetica" w:hAnsi="Helvetica"/>
          <w:sz w:val="20"/>
          <w:szCs w:val="20"/>
        </w:rPr>
      </w:pPr>
    </w:p>
    <w:p w14:paraId="01D60ABC" w14:textId="513FC8F4" w:rsidR="00DB7AF3" w:rsidRDefault="00DB7AF3" w:rsidP="00380E55">
      <w:pPr>
        <w:jc w:val="both"/>
        <w:rPr>
          <w:rFonts w:ascii="Helvetica" w:eastAsiaTheme="majorEastAsia" w:hAnsi="Helvetica" w:cstheme="majorBidi"/>
          <w:sz w:val="20"/>
          <w:szCs w:val="20"/>
        </w:rPr>
      </w:pPr>
    </w:p>
    <w:p w14:paraId="170D0C0A" w14:textId="639CBE90" w:rsidR="00DB7AF3" w:rsidRDefault="00DB7AF3" w:rsidP="00380E55">
      <w:pPr>
        <w:jc w:val="both"/>
        <w:rPr>
          <w:rFonts w:ascii="Helvetica" w:eastAsiaTheme="majorEastAsia" w:hAnsi="Helvetica" w:cstheme="majorBidi"/>
          <w:sz w:val="20"/>
          <w:szCs w:val="20"/>
        </w:rPr>
      </w:pPr>
    </w:p>
    <w:p w14:paraId="0F478863" w14:textId="48F53623" w:rsidR="00DB7AF3" w:rsidRDefault="0094021C"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Les personnes disposant du rôle d’administrateur </w:t>
      </w:r>
      <w:proofErr w:type="spellStart"/>
      <w:r>
        <w:rPr>
          <w:rFonts w:ascii="Helvetica" w:eastAsiaTheme="majorEastAsia" w:hAnsi="Helvetica" w:cstheme="majorBidi"/>
          <w:sz w:val="20"/>
          <w:szCs w:val="20"/>
        </w:rPr>
        <w:t>Analytics</w:t>
      </w:r>
      <w:proofErr w:type="spellEnd"/>
      <w:r>
        <w:rPr>
          <w:rFonts w:ascii="Helvetica" w:eastAsiaTheme="majorEastAsia" w:hAnsi="Helvetica" w:cstheme="majorBidi"/>
          <w:sz w:val="20"/>
          <w:szCs w:val="20"/>
        </w:rPr>
        <w:t xml:space="preserve"> disposent d’un lien supplémentaire marqué Liste d'objet d'</w:t>
      </w:r>
      <w:r w:rsidRPr="0094021C">
        <w:rPr>
          <w:rFonts w:ascii="Helvetica" w:eastAsiaTheme="majorEastAsia" w:hAnsi="Helvetica" w:cstheme="majorBidi"/>
          <w:sz w:val="20"/>
          <w:szCs w:val="20"/>
        </w:rPr>
        <w:t>analyse</w:t>
      </w:r>
      <w:r>
        <w:rPr>
          <w:rFonts w:ascii="Helvetica" w:eastAsiaTheme="majorEastAsia" w:hAnsi="Helvetica" w:cstheme="majorBidi"/>
          <w:sz w:val="20"/>
          <w:szCs w:val="20"/>
        </w:rPr>
        <w:t xml:space="preserve">. Ce lien ouvre une page à partir de laquelle ils peuvent ajouter des objets analytiques, c’est-à-dire des rapports destinés à être partagés au sein de l’institution, ou les modifier (pour mettre en place un envoi planifié, modifié les destinataires de cet envoi, etc.). </w:t>
      </w:r>
    </w:p>
    <w:p w14:paraId="022AC1F2" w14:textId="1F16A75C" w:rsidR="0094021C" w:rsidRDefault="0094021C" w:rsidP="00380E55">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431F27F9" wp14:editId="2F3B0FD8">
            <wp:extent cx="5760720" cy="274764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3-01-24_14590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747645"/>
                    </a:xfrm>
                    <a:prstGeom prst="rect">
                      <a:avLst/>
                    </a:prstGeom>
                  </pic:spPr>
                </pic:pic>
              </a:graphicData>
            </a:graphic>
          </wp:inline>
        </w:drawing>
      </w:r>
    </w:p>
    <w:p w14:paraId="0DB243BE" w14:textId="335CC454" w:rsidR="0094021C" w:rsidRDefault="0094021C" w:rsidP="00380E55">
      <w:pPr>
        <w:jc w:val="both"/>
        <w:rPr>
          <w:rFonts w:ascii="Helvetica" w:eastAsiaTheme="majorEastAsia" w:hAnsi="Helvetica" w:cstheme="majorBidi"/>
          <w:sz w:val="20"/>
          <w:szCs w:val="20"/>
        </w:rPr>
      </w:pPr>
    </w:p>
    <w:p w14:paraId="08E486C3" w14:textId="53B5D605" w:rsidR="0094021C" w:rsidRDefault="0094021C"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L’ajout d’un nouveau rapport se fait depuis Ajouter nouvel objet Analytique Alma, la suppression depuis Supprimer objets après sélection du ou des rapports à supprimer. </w:t>
      </w:r>
    </w:p>
    <w:p w14:paraId="7974720B" w14:textId="77777777" w:rsidR="0094021C" w:rsidRDefault="0094021C"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Un clic sur l’un de ces « objets analytiques » permet d’accéder à sa page de configuration, à partir de laquelle on peut : </w:t>
      </w:r>
    </w:p>
    <w:p w14:paraId="01E04DFE" w14:textId="6B68E81F" w:rsidR="0094021C" w:rsidRDefault="0094021C" w:rsidP="0094021C">
      <w:pPr>
        <w:pStyle w:val="Paragraphedeliste"/>
        <w:numPr>
          <w:ilvl w:val="0"/>
          <w:numId w:val="50"/>
        </w:numPr>
        <w:jc w:val="both"/>
        <w:rPr>
          <w:rFonts w:ascii="Helvetica" w:eastAsiaTheme="majorEastAsia" w:hAnsi="Helvetica" w:cstheme="majorBidi"/>
          <w:sz w:val="20"/>
          <w:szCs w:val="20"/>
        </w:rPr>
      </w:pPr>
      <w:r>
        <w:rPr>
          <w:rFonts w:ascii="Helvetica" w:eastAsiaTheme="majorEastAsia" w:hAnsi="Helvetica" w:cstheme="majorBidi"/>
          <w:sz w:val="20"/>
          <w:szCs w:val="20"/>
        </w:rPr>
        <w:t>Modifier le nom et/ou la description de l’objet analytique</w:t>
      </w:r>
    </w:p>
    <w:p w14:paraId="329DDCE8" w14:textId="7E77E315" w:rsidR="0094021C" w:rsidRDefault="0094021C" w:rsidP="0094021C">
      <w:pPr>
        <w:pStyle w:val="Paragraphedeliste"/>
        <w:numPr>
          <w:ilvl w:val="0"/>
          <w:numId w:val="50"/>
        </w:numPr>
        <w:jc w:val="both"/>
        <w:rPr>
          <w:rFonts w:ascii="Helvetica" w:eastAsiaTheme="majorEastAsia" w:hAnsi="Helvetica" w:cstheme="majorBidi"/>
          <w:sz w:val="20"/>
          <w:szCs w:val="20"/>
        </w:rPr>
      </w:pPr>
      <w:r>
        <w:rPr>
          <w:rFonts w:ascii="Helvetica" w:eastAsiaTheme="majorEastAsia" w:hAnsi="Helvetica" w:cstheme="majorBidi"/>
          <w:sz w:val="20"/>
          <w:szCs w:val="20"/>
        </w:rPr>
        <w:t>Modifier le chemin qui pointe sur le rapport prése</w:t>
      </w:r>
      <w:r w:rsidR="00E111F4">
        <w:rPr>
          <w:rFonts w:ascii="Helvetica" w:eastAsiaTheme="majorEastAsia" w:hAnsi="Helvetica" w:cstheme="majorBidi"/>
          <w:sz w:val="20"/>
          <w:szCs w:val="20"/>
        </w:rPr>
        <w:t xml:space="preserve">nt dans Alma </w:t>
      </w:r>
      <w:proofErr w:type="spellStart"/>
      <w:r w:rsidR="00E111F4">
        <w:rPr>
          <w:rFonts w:ascii="Helvetica" w:eastAsiaTheme="majorEastAsia" w:hAnsi="Helvetica" w:cstheme="majorBidi"/>
          <w:sz w:val="20"/>
          <w:szCs w:val="20"/>
        </w:rPr>
        <w:t>Analytics</w:t>
      </w:r>
      <w:proofErr w:type="spellEnd"/>
    </w:p>
    <w:p w14:paraId="584F9F74" w14:textId="4037F1BA" w:rsidR="00E111F4" w:rsidRDefault="00E111F4" w:rsidP="0094021C">
      <w:pPr>
        <w:pStyle w:val="Paragraphedeliste"/>
        <w:numPr>
          <w:ilvl w:val="0"/>
          <w:numId w:val="50"/>
        </w:numPr>
        <w:jc w:val="both"/>
        <w:rPr>
          <w:rFonts w:ascii="Helvetica" w:eastAsiaTheme="majorEastAsia" w:hAnsi="Helvetica" w:cstheme="majorBidi"/>
          <w:sz w:val="20"/>
          <w:szCs w:val="20"/>
        </w:rPr>
      </w:pPr>
      <w:r>
        <w:rPr>
          <w:rFonts w:ascii="Helvetica" w:eastAsiaTheme="majorEastAsia" w:hAnsi="Helvetica" w:cstheme="majorBidi"/>
          <w:sz w:val="20"/>
          <w:szCs w:val="20"/>
        </w:rPr>
        <w:t>Définir les critères de partage du rapport (rapport partagé sur la base d’un ou de plusieurs rôles et/ou rapport partagé avec des personnes identifiées)</w:t>
      </w:r>
    </w:p>
    <w:p w14:paraId="3D41430A" w14:textId="497EBC4A" w:rsidR="00E111F4" w:rsidRDefault="00E111F4" w:rsidP="0094021C">
      <w:pPr>
        <w:pStyle w:val="Paragraphedeliste"/>
        <w:numPr>
          <w:ilvl w:val="0"/>
          <w:numId w:val="50"/>
        </w:numPr>
        <w:jc w:val="both"/>
        <w:rPr>
          <w:rFonts w:ascii="Helvetica" w:eastAsiaTheme="majorEastAsia" w:hAnsi="Helvetica" w:cstheme="majorBidi"/>
          <w:sz w:val="20"/>
          <w:szCs w:val="20"/>
        </w:rPr>
      </w:pPr>
      <w:r>
        <w:rPr>
          <w:rFonts w:ascii="Helvetica" w:eastAsiaTheme="majorEastAsia" w:hAnsi="Helvetica" w:cstheme="majorBidi"/>
          <w:sz w:val="20"/>
          <w:szCs w:val="20"/>
        </w:rPr>
        <w:t>Définir les modalités de partage (widget ou rapport planifié, et dans ce cas modalités et fréquences d’envoi et destinataires)</w:t>
      </w:r>
    </w:p>
    <w:p w14:paraId="1E0A32E9" w14:textId="4C18017A" w:rsidR="00E111F4" w:rsidRPr="00E111F4" w:rsidRDefault="00E111F4" w:rsidP="00E111F4">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4FFD71BF" wp14:editId="5931137C">
            <wp:extent cx="5760720" cy="37211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3-01-24_151103.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3721100"/>
                    </a:xfrm>
                    <a:prstGeom prst="rect">
                      <a:avLst/>
                    </a:prstGeom>
                  </pic:spPr>
                </pic:pic>
              </a:graphicData>
            </a:graphic>
          </wp:inline>
        </w:drawing>
      </w:r>
    </w:p>
    <w:p w14:paraId="1B0D8ABA" w14:textId="0A3E8DD3" w:rsidR="0094021C" w:rsidRDefault="0094021C" w:rsidP="00380E55">
      <w:pPr>
        <w:jc w:val="both"/>
        <w:rPr>
          <w:rFonts w:ascii="Helvetica" w:eastAsiaTheme="majorEastAsia" w:hAnsi="Helvetica" w:cstheme="majorBidi"/>
          <w:sz w:val="20"/>
          <w:szCs w:val="20"/>
        </w:rPr>
      </w:pPr>
    </w:p>
    <w:p w14:paraId="1CD3873C" w14:textId="4B07A27F" w:rsidR="005466A2" w:rsidRDefault="005466A2"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Il est à noter que les administrateurs</w:t>
      </w:r>
      <w:r w:rsidR="00EA7B72">
        <w:rPr>
          <w:rFonts w:ascii="Helvetica" w:eastAsiaTheme="majorEastAsia" w:hAnsi="Helvetica" w:cstheme="majorBidi"/>
          <w:sz w:val="20"/>
          <w:szCs w:val="20"/>
        </w:rPr>
        <w:t xml:space="preserve"> </w:t>
      </w:r>
      <w:proofErr w:type="spellStart"/>
      <w:r w:rsidR="00EA7B72">
        <w:rPr>
          <w:rFonts w:ascii="Helvetica" w:eastAsiaTheme="majorEastAsia" w:hAnsi="Helvetica" w:cstheme="majorBidi"/>
          <w:sz w:val="20"/>
          <w:szCs w:val="20"/>
        </w:rPr>
        <w:t>Analytics</w:t>
      </w:r>
      <w:proofErr w:type="spellEnd"/>
      <w:r>
        <w:rPr>
          <w:rFonts w:ascii="Helvetica" w:eastAsiaTheme="majorEastAsia" w:hAnsi="Helvetica" w:cstheme="majorBidi"/>
          <w:sz w:val="20"/>
          <w:szCs w:val="20"/>
        </w:rPr>
        <w:t xml:space="preserve"> ont toute latitude, désormais, pour définir la fréquence d’envoi</w:t>
      </w:r>
      <w:r w:rsidR="00EA7B72">
        <w:rPr>
          <w:rFonts w:ascii="Helvetica" w:eastAsiaTheme="majorEastAsia" w:hAnsi="Helvetica" w:cstheme="majorBidi"/>
          <w:sz w:val="20"/>
          <w:szCs w:val="20"/>
        </w:rPr>
        <w:t xml:space="preserve">, qui peut désormais se faire sur un rythme horaire et plus seulement quotidien, hebdomadaire ou mensuel. Pour ces deux derniers types d’envoi, il est désormais possible de définir le jour de son choix. </w:t>
      </w:r>
      <w:r>
        <w:rPr>
          <w:rFonts w:ascii="Helvetica" w:eastAsiaTheme="majorEastAsia" w:hAnsi="Helvetica" w:cstheme="majorBidi"/>
          <w:sz w:val="20"/>
          <w:szCs w:val="20"/>
        </w:rPr>
        <w:t xml:space="preserve">Par exemple, pour un envoi mensuel, il est possible de choisir un </w:t>
      </w:r>
      <w:r w:rsidR="00EA7B72">
        <w:rPr>
          <w:rFonts w:ascii="Helvetica" w:eastAsiaTheme="majorEastAsia" w:hAnsi="Helvetica" w:cstheme="majorBidi"/>
          <w:sz w:val="20"/>
          <w:szCs w:val="20"/>
        </w:rPr>
        <w:t xml:space="preserve">envoi le 15 du mois ou chaque troisième mardi, et non plus </w:t>
      </w:r>
      <w:r>
        <w:rPr>
          <w:rFonts w:ascii="Helvetica" w:eastAsiaTheme="majorEastAsia" w:hAnsi="Helvetica" w:cstheme="majorBidi"/>
          <w:sz w:val="20"/>
          <w:szCs w:val="20"/>
        </w:rPr>
        <w:t xml:space="preserve">le 2 du mois </w:t>
      </w:r>
      <w:r w:rsidR="00EA7B72">
        <w:rPr>
          <w:rFonts w:ascii="Helvetica" w:eastAsiaTheme="majorEastAsia" w:hAnsi="Helvetica" w:cstheme="majorBidi"/>
          <w:sz w:val="20"/>
          <w:szCs w:val="20"/>
        </w:rPr>
        <w:t>comme jusqu’à présent</w:t>
      </w:r>
      <w:r>
        <w:rPr>
          <w:rFonts w:ascii="Helvetica" w:eastAsiaTheme="majorEastAsia" w:hAnsi="Helvetica" w:cstheme="majorBidi"/>
          <w:sz w:val="20"/>
          <w:szCs w:val="20"/>
        </w:rPr>
        <w:t>.</w:t>
      </w:r>
    </w:p>
    <w:p w14:paraId="648FF872" w14:textId="1C6ACC36" w:rsidR="005466A2" w:rsidRDefault="005466A2" w:rsidP="00380E55">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4828F6FA" wp14:editId="7C8C431E">
            <wp:extent cx="5760720" cy="35121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 Instantané_2023-01-31_095354_univ-toulouse.alma.exlibrisgroup.com.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512185"/>
                    </a:xfrm>
                    <a:prstGeom prst="rect">
                      <a:avLst/>
                    </a:prstGeom>
                  </pic:spPr>
                </pic:pic>
              </a:graphicData>
            </a:graphic>
          </wp:inline>
        </w:drawing>
      </w:r>
    </w:p>
    <w:p w14:paraId="549F4277" w14:textId="5E2D5FF1" w:rsidR="005466A2" w:rsidRDefault="005466A2" w:rsidP="00380E55">
      <w:pPr>
        <w:jc w:val="both"/>
        <w:rPr>
          <w:rFonts w:ascii="Helvetica" w:eastAsiaTheme="majorEastAsia" w:hAnsi="Helvetica" w:cstheme="majorBidi"/>
          <w:sz w:val="20"/>
          <w:szCs w:val="20"/>
        </w:rPr>
      </w:pPr>
    </w:p>
    <w:p w14:paraId="0DC68ACD" w14:textId="6D3D00A1" w:rsidR="005466A2" w:rsidRDefault="005466A2"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Par défaut, le système conserve les fréquences d’envoi prédéfinies pour les rapports dont les envois ont été planifiés dans l’ancienne interface. Si l’on souhaite modifier cette planification, il faut basculer le bouton </w:t>
      </w:r>
      <w:r w:rsidR="00EA7B72">
        <w:rPr>
          <w:rFonts w:ascii="Helvetica" w:eastAsiaTheme="majorEastAsia" w:hAnsi="Helvetica" w:cstheme="majorBidi"/>
          <w:sz w:val="20"/>
          <w:szCs w:val="20"/>
        </w:rPr>
        <w:t xml:space="preserve">poussoir </w:t>
      </w:r>
      <w:r>
        <w:rPr>
          <w:rFonts w:ascii="Helvetica" w:eastAsiaTheme="majorEastAsia" w:hAnsi="Helvetica" w:cstheme="majorBidi"/>
          <w:sz w:val="20"/>
          <w:szCs w:val="20"/>
        </w:rPr>
        <w:t xml:space="preserve">sur la droite. </w:t>
      </w:r>
    </w:p>
    <w:p w14:paraId="31B18450" w14:textId="18819683" w:rsidR="005466A2" w:rsidRDefault="005466A2" w:rsidP="00380E55">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3E77E280" wp14:editId="6659EC29">
            <wp:extent cx="5760720" cy="10198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 Instantané_2023-01-31_095655_univ-toulouse.alma.exlibrisgroup.com.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019810"/>
                    </a:xfrm>
                    <a:prstGeom prst="rect">
                      <a:avLst/>
                    </a:prstGeom>
                  </pic:spPr>
                </pic:pic>
              </a:graphicData>
            </a:graphic>
          </wp:inline>
        </w:drawing>
      </w:r>
    </w:p>
    <w:p w14:paraId="6F6DC765" w14:textId="244FBACB" w:rsidR="00F7038D" w:rsidRDefault="00F7038D" w:rsidP="00380E55">
      <w:p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Le rapport lui-même peut être fourni sous la forme d’une pièce jointe, dans l’un des formats déjà en vigueur (Excel, </w:t>
      </w:r>
      <w:proofErr w:type="spellStart"/>
      <w:r>
        <w:rPr>
          <w:rFonts w:ascii="Helvetica" w:eastAsiaTheme="majorEastAsia" w:hAnsi="Helvetica" w:cstheme="majorBidi"/>
          <w:sz w:val="20"/>
          <w:szCs w:val="20"/>
        </w:rPr>
        <w:t>Text</w:t>
      </w:r>
      <w:proofErr w:type="spellEnd"/>
      <w:r>
        <w:rPr>
          <w:rFonts w:ascii="Helvetica" w:eastAsiaTheme="majorEastAsia" w:hAnsi="Helvetica" w:cstheme="majorBidi"/>
          <w:sz w:val="20"/>
          <w:szCs w:val="20"/>
        </w:rPr>
        <w:t>, PDF, CSV)</w:t>
      </w:r>
      <w:r w:rsidR="0095512B">
        <w:rPr>
          <w:rFonts w:ascii="Helvetica" w:eastAsiaTheme="majorEastAsia" w:hAnsi="Helvetica" w:cstheme="majorBidi"/>
          <w:sz w:val="20"/>
          <w:szCs w:val="20"/>
        </w:rPr>
        <w:t>,</w:t>
      </w:r>
      <w:bookmarkStart w:id="2" w:name="_GoBack"/>
      <w:bookmarkEnd w:id="2"/>
      <w:r>
        <w:rPr>
          <w:rFonts w:ascii="Helvetica" w:eastAsiaTheme="majorEastAsia" w:hAnsi="Helvetica" w:cstheme="majorBidi"/>
          <w:sz w:val="20"/>
          <w:szCs w:val="20"/>
        </w:rPr>
        <w:t xml:space="preserve"> ou d’un lien. </w:t>
      </w:r>
    </w:p>
    <w:p w14:paraId="370BE9CA" w14:textId="77777777" w:rsidR="00F7038D" w:rsidRDefault="00F7038D" w:rsidP="00380E55">
      <w:pPr>
        <w:jc w:val="both"/>
        <w:rPr>
          <w:rFonts w:ascii="Helvetica" w:eastAsiaTheme="majorEastAsia" w:hAnsi="Helvetica" w:cstheme="majorBidi"/>
          <w:sz w:val="20"/>
          <w:szCs w:val="20"/>
        </w:rPr>
      </w:pPr>
    </w:p>
    <w:p w14:paraId="49AF6BBF" w14:textId="4AD730E1" w:rsidR="005E6165" w:rsidRDefault="005E6165" w:rsidP="005E6165">
      <w:pPr>
        <w:jc w:val="both"/>
        <w:rPr>
          <w:i/>
          <w:sz w:val="28"/>
          <w:szCs w:val="32"/>
        </w:rPr>
      </w:pPr>
      <w:r>
        <w:rPr>
          <w:i/>
          <w:sz w:val="28"/>
          <w:szCs w:val="32"/>
        </w:rPr>
        <w:t>Revenir à l’ancienne interface</w:t>
      </w:r>
    </w:p>
    <w:p w14:paraId="380EFFAB" w14:textId="38565EC9" w:rsidR="005E6165" w:rsidRDefault="005E6165" w:rsidP="005E6165">
      <w:pPr>
        <w:jc w:val="both"/>
        <w:rPr>
          <w:rFonts w:ascii="Helvetica" w:hAnsi="Helvetica"/>
          <w:sz w:val="20"/>
          <w:szCs w:val="20"/>
        </w:rPr>
      </w:pPr>
      <w:r>
        <w:rPr>
          <w:rFonts w:ascii="Helvetica" w:hAnsi="Helvetica"/>
          <w:sz w:val="20"/>
          <w:szCs w:val="20"/>
        </w:rPr>
        <w:t xml:space="preserve">Il reste possible, pendant encore quelques mois, de revenir à l’ancienne interface. Pour cela, il faut se rendre dans la fonction </w:t>
      </w:r>
      <w:r w:rsidRPr="005E6165">
        <w:rPr>
          <w:rFonts w:ascii="Helvetica" w:hAnsi="Helvetica"/>
          <w:sz w:val="20"/>
          <w:szCs w:val="20"/>
        </w:rPr>
        <w:t>Configuration de déploiement de fonctionnalité</w:t>
      </w:r>
      <w:r>
        <w:rPr>
          <w:rFonts w:ascii="Helvetica" w:hAnsi="Helvetica"/>
          <w:sz w:val="20"/>
          <w:szCs w:val="20"/>
        </w:rPr>
        <w:t xml:space="preserve">, proposée en lien dans le menu personnel. </w:t>
      </w:r>
    </w:p>
    <w:p w14:paraId="3D8C674B" w14:textId="5B16B1F3" w:rsidR="005E6165" w:rsidRDefault="005E6165" w:rsidP="005E6165">
      <w:pPr>
        <w:jc w:val="center"/>
        <w:rPr>
          <w:rFonts w:ascii="Helvetica" w:hAnsi="Helvetica"/>
          <w:sz w:val="20"/>
          <w:szCs w:val="20"/>
        </w:rPr>
      </w:pPr>
      <w:r>
        <w:rPr>
          <w:rFonts w:ascii="Helvetica" w:hAnsi="Helvetica"/>
          <w:noProof/>
          <w:sz w:val="20"/>
          <w:szCs w:val="20"/>
          <w:lang w:eastAsia="fr-FR"/>
        </w:rPr>
        <w:drawing>
          <wp:inline distT="0" distB="0" distL="0" distR="0" wp14:anchorId="10B5A02E" wp14:editId="56EDA3FF">
            <wp:extent cx="2984500" cy="252031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 Instantané_2023-01-27_160423_univ-toulouse-psb.alma.exlibrisgroup.com.png"/>
                    <pic:cNvPicPr/>
                  </pic:nvPicPr>
                  <pic:blipFill>
                    <a:blip r:embed="rId36">
                      <a:extLst>
                        <a:ext uri="{28A0092B-C50C-407E-A947-70E740481C1C}">
                          <a14:useLocalDpi xmlns:a14="http://schemas.microsoft.com/office/drawing/2010/main" val="0"/>
                        </a:ext>
                      </a:extLst>
                    </a:blip>
                    <a:stretch>
                      <a:fillRect/>
                    </a:stretch>
                  </pic:blipFill>
                  <pic:spPr>
                    <a:xfrm>
                      <a:off x="0" y="0"/>
                      <a:ext cx="3008633" cy="2540695"/>
                    </a:xfrm>
                    <a:prstGeom prst="rect">
                      <a:avLst/>
                    </a:prstGeom>
                  </pic:spPr>
                </pic:pic>
              </a:graphicData>
            </a:graphic>
          </wp:inline>
        </w:drawing>
      </w:r>
    </w:p>
    <w:p w14:paraId="0D9065A0" w14:textId="55B36CB7" w:rsidR="005E6165" w:rsidRDefault="005E6165" w:rsidP="005E6165">
      <w:pPr>
        <w:jc w:val="both"/>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5F5E7AAD" wp14:editId="4D3F8F00">
            <wp:extent cx="5760720" cy="17291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ra Instantané_2023-01-27_160441_univ-toulouse-psb.alma.exlibrisgroup.co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729105"/>
                    </a:xfrm>
                    <a:prstGeom prst="rect">
                      <a:avLst/>
                    </a:prstGeom>
                  </pic:spPr>
                </pic:pic>
              </a:graphicData>
            </a:graphic>
          </wp:inline>
        </w:drawing>
      </w:r>
    </w:p>
    <w:p w14:paraId="1D870A38" w14:textId="18C67E9D" w:rsidR="001748DB" w:rsidRDefault="001748DB" w:rsidP="00380E55">
      <w:pPr>
        <w:jc w:val="both"/>
        <w:rPr>
          <w:rFonts w:ascii="Helvetica" w:eastAsiaTheme="majorEastAsia" w:hAnsi="Helvetica" w:cstheme="majorBidi"/>
          <w:sz w:val="20"/>
          <w:szCs w:val="20"/>
        </w:rPr>
      </w:pPr>
    </w:p>
    <w:p w14:paraId="11F41EC9" w14:textId="77777777" w:rsidR="005E6165" w:rsidRDefault="005E6165" w:rsidP="00380E55">
      <w:pPr>
        <w:jc w:val="both"/>
        <w:rPr>
          <w:rFonts w:ascii="Helvetica" w:eastAsiaTheme="majorEastAsia" w:hAnsi="Helvetica" w:cstheme="majorBidi"/>
          <w:sz w:val="20"/>
          <w:szCs w:val="20"/>
        </w:rPr>
      </w:pPr>
    </w:p>
    <w:p w14:paraId="7A2365CD" w14:textId="44D95BE8" w:rsidR="001748DB" w:rsidRDefault="001748DB" w:rsidP="001748DB">
      <w:pPr>
        <w:jc w:val="both"/>
        <w:rPr>
          <w:sz w:val="32"/>
          <w:szCs w:val="32"/>
        </w:rPr>
      </w:pPr>
      <w:r>
        <w:rPr>
          <w:sz w:val="32"/>
          <w:szCs w:val="32"/>
        </w:rPr>
        <w:t>Renommage de champs de données</w:t>
      </w:r>
    </w:p>
    <w:p w14:paraId="3DBFA6C9" w14:textId="77777777" w:rsidR="001748DB" w:rsidRDefault="001748DB" w:rsidP="001748DB">
      <w:pPr>
        <w:jc w:val="both"/>
        <w:rPr>
          <w:rFonts w:ascii="Helvetica" w:hAnsi="Helvetica"/>
          <w:sz w:val="20"/>
          <w:szCs w:val="20"/>
        </w:rPr>
      </w:pPr>
      <w:proofErr w:type="spellStart"/>
      <w:r>
        <w:rPr>
          <w:rFonts w:ascii="Helvetica" w:hAnsi="Helvetica"/>
          <w:sz w:val="20"/>
          <w:szCs w:val="20"/>
        </w:rPr>
        <w:t>Fund</w:t>
      </w:r>
      <w:proofErr w:type="spellEnd"/>
      <w:r>
        <w:rPr>
          <w:rFonts w:ascii="Helvetica" w:hAnsi="Helvetica"/>
          <w:sz w:val="20"/>
          <w:szCs w:val="20"/>
        </w:rPr>
        <w:t xml:space="preserve"> </w:t>
      </w:r>
      <w:proofErr w:type="spellStart"/>
      <w:r>
        <w:rPr>
          <w:rFonts w:ascii="Helvetica" w:hAnsi="Helvetica"/>
          <w:sz w:val="20"/>
          <w:szCs w:val="20"/>
        </w:rPr>
        <w:t>Ledger</w:t>
      </w:r>
      <w:proofErr w:type="spellEnd"/>
      <w:r>
        <w:rPr>
          <w:rFonts w:ascii="Helvetica" w:hAnsi="Helvetica"/>
          <w:sz w:val="20"/>
          <w:szCs w:val="20"/>
        </w:rPr>
        <w:t xml:space="preserve"> et les champs de données associés font l’objet d’un renommage avec cette version. En l’occurrence, le terme </w:t>
      </w:r>
      <w:proofErr w:type="spellStart"/>
      <w:r>
        <w:rPr>
          <w:rFonts w:ascii="Helvetica" w:hAnsi="Helvetica"/>
          <w:sz w:val="20"/>
          <w:szCs w:val="20"/>
        </w:rPr>
        <w:t>Ledger</w:t>
      </w:r>
      <w:proofErr w:type="spellEnd"/>
      <w:r>
        <w:rPr>
          <w:rFonts w:ascii="Helvetica" w:hAnsi="Helvetica"/>
          <w:sz w:val="20"/>
          <w:szCs w:val="20"/>
        </w:rPr>
        <w:t xml:space="preserve"> est supprimé partout où il était employé. </w:t>
      </w:r>
    </w:p>
    <w:p w14:paraId="39B74A4F" w14:textId="05AA6C10" w:rsidR="001748DB" w:rsidRDefault="001748DB" w:rsidP="001748DB">
      <w:pPr>
        <w:jc w:val="both"/>
        <w:rPr>
          <w:rFonts w:ascii="Helvetica" w:hAnsi="Helvetica"/>
          <w:sz w:val="20"/>
          <w:szCs w:val="20"/>
        </w:rPr>
      </w:pPr>
      <w:proofErr w:type="gramStart"/>
      <w:r>
        <w:rPr>
          <w:rFonts w:ascii="Helvetica" w:hAnsi="Helvetica"/>
          <w:sz w:val="20"/>
          <w:szCs w:val="20"/>
        </w:rPr>
        <w:t xml:space="preserve">Dans  </w:t>
      </w:r>
      <w:proofErr w:type="spellStart"/>
      <w:r w:rsidRPr="001748DB">
        <w:rPr>
          <w:rFonts w:ascii="Helvetica" w:hAnsi="Helvetica"/>
          <w:sz w:val="20"/>
          <w:szCs w:val="20"/>
        </w:rPr>
        <w:t>Fund</w:t>
      </w:r>
      <w:proofErr w:type="spellEnd"/>
      <w:proofErr w:type="gramEnd"/>
      <w:r w:rsidRPr="001748DB">
        <w:rPr>
          <w:rFonts w:ascii="Helvetica" w:hAnsi="Helvetica"/>
          <w:sz w:val="20"/>
          <w:szCs w:val="20"/>
        </w:rPr>
        <w:t xml:space="preserve"> </w:t>
      </w:r>
      <w:proofErr w:type="spellStart"/>
      <w:r w:rsidRPr="001748DB">
        <w:rPr>
          <w:rFonts w:ascii="Helvetica" w:hAnsi="Helvetica"/>
          <w:sz w:val="20"/>
          <w:szCs w:val="20"/>
        </w:rPr>
        <w:t>Expenditure</w:t>
      </w:r>
      <w:proofErr w:type="spellEnd"/>
      <w:r>
        <w:rPr>
          <w:rFonts w:ascii="Helvetica" w:hAnsi="Helvetica"/>
          <w:sz w:val="20"/>
          <w:szCs w:val="20"/>
        </w:rPr>
        <w:t xml:space="preserve">, plusieurs champs sont également renommés parmi lesquels </w:t>
      </w:r>
      <w:proofErr w:type="spellStart"/>
      <w:r w:rsidRPr="001748DB">
        <w:rPr>
          <w:rFonts w:ascii="Helvetica" w:hAnsi="Helvetica"/>
          <w:sz w:val="20"/>
          <w:szCs w:val="20"/>
        </w:rPr>
        <w:t>Invoice</w:t>
      </w:r>
      <w:proofErr w:type="spellEnd"/>
      <w:r w:rsidRPr="001748DB">
        <w:rPr>
          <w:rFonts w:ascii="Helvetica" w:hAnsi="Helvetica"/>
          <w:sz w:val="20"/>
          <w:szCs w:val="20"/>
        </w:rPr>
        <w:t xml:space="preserve"> - </w:t>
      </w:r>
      <w:proofErr w:type="spellStart"/>
      <w:r w:rsidRPr="001748DB">
        <w:rPr>
          <w:rFonts w:ascii="Helvetica" w:hAnsi="Helvetica"/>
          <w:sz w:val="20"/>
          <w:szCs w:val="20"/>
        </w:rPr>
        <w:t>Approved</w:t>
      </w:r>
      <w:proofErr w:type="spellEnd"/>
      <w:r w:rsidRPr="001748DB">
        <w:rPr>
          <w:rFonts w:ascii="Helvetica" w:hAnsi="Helvetica"/>
          <w:sz w:val="20"/>
          <w:szCs w:val="20"/>
        </w:rPr>
        <w:t xml:space="preserve"> By</w:t>
      </w:r>
      <w:r>
        <w:rPr>
          <w:rFonts w:ascii="Helvetica" w:hAnsi="Helvetica"/>
          <w:sz w:val="20"/>
          <w:szCs w:val="20"/>
        </w:rPr>
        <w:t xml:space="preserve">, qui devient </w:t>
      </w:r>
      <w:proofErr w:type="spellStart"/>
      <w:r w:rsidRPr="001748DB">
        <w:rPr>
          <w:rFonts w:ascii="Helvetica" w:hAnsi="Helvetica"/>
          <w:sz w:val="20"/>
          <w:szCs w:val="20"/>
        </w:rPr>
        <w:t>Invoice</w:t>
      </w:r>
      <w:proofErr w:type="spellEnd"/>
      <w:r w:rsidRPr="001748DB">
        <w:rPr>
          <w:rFonts w:ascii="Helvetica" w:hAnsi="Helvetica"/>
          <w:sz w:val="20"/>
          <w:szCs w:val="20"/>
        </w:rPr>
        <w:t xml:space="preserve"> - </w:t>
      </w:r>
      <w:proofErr w:type="spellStart"/>
      <w:r w:rsidRPr="001748DB">
        <w:rPr>
          <w:rFonts w:ascii="Helvetica" w:hAnsi="Helvetica"/>
          <w:sz w:val="20"/>
          <w:szCs w:val="20"/>
        </w:rPr>
        <w:t>Approver</w:t>
      </w:r>
      <w:proofErr w:type="spellEnd"/>
      <w:r w:rsidRPr="001748DB">
        <w:rPr>
          <w:rFonts w:ascii="Helvetica" w:hAnsi="Helvetica"/>
          <w:sz w:val="20"/>
          <w:szCs w:val="20"/>
        </w:rPr>
        <w:t xml:space="preserve"> Name</w:t>
      </w:r>
      <w:r>
        <w:rPr>
          <w:rFonts w:ascii="Helvetica" w:hAnsi="Helvetica"/>
          <w:sz w:val="20"/>
          <w:szCs w:val="20"/>
        </w:rPr>
        <w:t xml:space="preserve">. </w:t>
      </w:r>
    </w:p>
    <w:p w14:paraId="7600507D" w14:textId="4E4880FB" w:rsidR="001748DB" w:rsidRDefault="001748DB" w:rsidP="001748DB">
      <w:pPr>
        <w:jc w:val="both"/>
        <w:rPr>
          <w:rFonts w:ascii="Helvetica" w:hAnsi="Helvetica"/>
          <w:sz w:val="20"/>
          <w:szCs w:val="20"/>
        </w:rPr>
      </w:pPr>
    </w:p>
    <w:p w14:paraId="4E88F021" w14:textId="39A66F4B" w:rsidR="001748DB" w:rsidRDefault="001748DB" w:rsidP="001748DB">
      <w:pPr>
        <w:jc w:val="both"/>
        <w:rPr>
          <w:rFonts w:ascii="Helvetica" w:hAnsi="Helvetica"/>
          <w:sz w:val="20"/>
          <w:szCs w:val="20"/>
        </w:rPr>
      </w:pPr>
    </w:p>
    <w:p w14:paraId="0341CE97" w14:textId="7572880E" w:rsidR="001748DB" w:rsidRDefault="001748DB" w:rsidP="001748DB">
      <w:pPr>
        <w:jc w:val="both"/>
        <w:rPr>
          <w:sz w:val="32"/>
          <w:szCs w:val="32"/>
        </w:rPr>
      </w:pPr>
      <w:r>
        <w:rPr>
          <w:sz w:val="32"/>
          <w:szCs w:val="32"/>
        </w:rPr>
        <w:t>Changement de champs de données</w:t>
      </w:r>
    </w:p>
    <w:p w14:paraId="0E9F1C53" w14:textId="51F58BEA" w:rsidR="001748DB" w:rsidRDefault="001748DB" w:rsidP="001748DB">
      <w:pPr>
        <w:jc w:val="both"/>
        <w:rPr>
          <w:rFonts w:ascii="Helvetica" w:hAnsi="Helvetica"/>
          <w:sz w:val="20"/>
          <w:szCs w:val="20"/>
        </w:rPr>
      </w:pPr>
      <w:r>
        <w:rPr>
          <w:rFonts w:ascii="Helvetica" w:hAnsi="Helvetica"/>
          <w:sz w:val="20"/>
          <w:szCs w:val="20"/>
        </w:rPr>
        <w:t xml:space="preserve">Dans </w:t>
      </w:r>
      <w:proofErr w:type="spellStart"/>
      <w:r>
        <w:rPr>
          <w:rFonts w:ascii="Helvetica" w:hAnsi="Helvetica"/>
          <w:sz w:val="20"/>
          <w:szCs w:val="20"/>
        </w:rPr>
        <w:t>Users</w:t>
      </w:r>
      <w:proofErr w:type="spellEnd"/>
      <w:r>
        <w:rPr>
          <w:rFonts w:ascii="Helvetica" w:hAnsi="Helvetica"/>
          <w:sz w:val="20"/>
          <w:szCs w:val="20"/>
        </w:rPr>
        <w:t xml:space="preserve"> -&gt; </w:t>
      </w:r>
      <w:proofErr w:type="spellStart"/>
      <w:r>
        <w:rPr>
          <w:rFonts w:ascii="Helvetica" w:hAnsi="Helvetica"/>
          <w:sz w:val="20"/>
          <w:szCs w:val="20"/>
        </w:rPr>
        <w:t>Statistics</w:t>
      </w:r>
      <w:proofErr w:type="spellEnd"/>
      <w:r>
        <w:rPr>
          <w:rFonts w:ascii="Helvetica" w:hAnsi="Helvetica"/>
          <w:sz w:val="20"/>
          <w:szCs w:val="20"/>
        </w:rPr>
        <w:t xml:space="preserve">, ce ne sont plus les codes statistiques qui sont employés mais leurs descriptions. Les rapports qui utilisent certains de ces codes en filtres devront être modifiés en conséquence par les administrateurs du système. </w:t>
      </w:r>
    </w:p>
    <w:p w14:paraId="41086DD5" w14:textId="77777777" w:rsidR="001748DB" w:rsidRPr="00931E52" w:rsidRDefault="001748DB" w:rsidP="001748DB">
      <w:pPr>
        <w:jc w:val="both"/>
        <w:rPr>
          <w:rFonts w:ascii="Helvetica" w:eastAsiaTheme="majorEastAsia" w:hAnsi="Helvetica" w:cstheme="majorBidi"/>
          <w:sz w:val="20"/>
          <w:szCs w:val="20"/>
        </w:rPr>
      </w:pPr>
    </w:p>
    <w:sectPr w:rsidR="001748DB" w:rsidRPr="00931E52">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C58FF" w14:textId="77777777" w:rsidR="00EF100D" w:rsidRDefault="00EF100D" w:rsidP="0000222F">
      <w:pPr>
        <w:spacing w:after="0" w:line="240" w:lineRule="auto"/>
      </w:pPr>
      <w:r>
        <w:separator/>
      </w:r>
    </w:p>
  </w:endnote>
  <w:endnote w:type="continuationSeparator" w:id="0">
    <w:p w14:paraId="7A8C2029" w14:textId="77777777" w:rsidR="00EF100D" w:rsidRDefault="00EF100D"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4BB05878" w:rsidR="00EF100D" w:rsidRDefault="00EF100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95512B">
          <w:rPr>
            <w:rFonts w:ascii="Constantia" w:hAnsi="Constantia"/>
            <w:noProof/>
            <w:sz w:val="24"/>
          </w:rPr>
          <w:t>21</w:t>
        </w:r>
        <w:r w:rsidRPr="004B003B">
          <w:rPr>
            <w:rFonts w:ascii="Constantia" w:hAnsi="Constantia"/>
            <w:sz w:val="24"/>
          </w:rPr>
          <w:fldChar w:fldCharType="end"/>
        </w:r>
      </w:p>
    </w:sdtContent>
  </w:sdt>
  <w:p w14:paraId="545A5A6E" w14:textId="77777777" w:rsidR="00EF100D" w:rsidRPr="0000222F" w:rsidRDefault="00EF100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F8398" w14:textId="77777777" w:rsidR="00EF100D" w:rsidRDefault="00EF100D" w:rsidP="0000222F">
      <w:pPr>
        <w:spacing w:after="0" w:line="240" w:lineRule="auto"/>
      </w:pPr>
      <w:r>
        <w:separator/>
      </w:r>
    </w:p>
  </w:footnote>
  <w:footnote w:type="continuationSeparator" w:id="0">
    <w:p w14:paraId="2608F954" w14:textId="77777777" w:rsidR="00EF100D" w:rsidRDefault="00EF100D"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45FA21AA" w:rsidR="00EF100D" w:rsidRDefault="00EF100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Note de version Alma – 1er trimestre 2023</w:t>
        </w:r>
      </w:sdtContent>
    </w:sdt>
  </w:p>
  <w:p w14:paraId="09C2C149" w14:textId="77777777" w:rsidR="00EF100D" w:rsidRDefault="00EF10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5F"/>
    <w:multiLevelType w:val="hybridMultilevel"/>
    <w:tmpl w:val="28329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658CE"/>
    <w:multiLevelType w:val="hybridMultilevel"/>
    <w:tmpl w:val="EE4A0C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52AB4"/>
    <w:multiLevelType w:val="hybridMultilevel"/>
    <w:tmpl w:val="F0F80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B495F"/>
    <w:multiLevelType w:val="hybridMultilevel"/>
    <w:tmpl w:val="201E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E508F"/>
    <w:multiLevelType w:val="hybridMultilevel"/>
    <w:tmpl w:val="93A23B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088057F1"/>
    <w:multiLevelType w:val="hybridMultilevel"/>
    <w:tmpl w:val="105AB5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D70EA4"/>
    <w:multiLevelType w:val="hybridMultilevel"/>
    <w:tmpl w:val="AF446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07BAE"/>
    <w:multiLevelType w:val="hybridMultilevel"/>
    <w:tmpl w:val="2FDA337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0FB720EF"/>
    <w:multiLevelType w:val="hybridMultilevel"/>
    <w:tmpl w:val="5D0AB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410265"/>
    <w:multiLevelType w:val="hybridMultilevel"/>
    <w:tmpl w:val="34CE2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627455"/>
    <w:multiLevelType w:val="hybridMultilevel"/>
    <w:tmpl w:val="075E1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506166"/>
    <w:multiLevelType w:val="multilevel"/>
    <w:tmpl w:val="ABF09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CD6B0E"/>
    <w:multiLevelType w:val="hybridMultilevel"/>
    <w:tmpl w:val="8A20847A"/>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3" w15:restartNumberingAfterBreak="0">
    <w:nsid w:val="177D5A69"/>
    <w:multiLevelType w:val="hybridMultilevel"/>
    <w:tmpl w:val="700034E6"/>
    <w:lvl w:ilvl="0" w:tplc="27286C62">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6F7037"/>
    <w:multiLevelType w:val="hybridMultilevel"/>
    <w:tmpl w:val="52E446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A33AC3"/>
    <w:multiLevelType w:val="hybridMultilevel"/>
    <w:tmpl w:val="FE8858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8C2F8B"/>
    <w:multiLevelType w:val="hybridMultilevel"/>
    <w:tmpl w:val="B43A8D2A"/>
    <w:lvl w:ilvl="0" w:tplc="040C0005">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7" w15:restartNumberingAfterBreak="0">
    <w:nsid w:val="1E6C3C6D"/>
    <w:multiLevelType w:val="hybridMultilevel"/>
    <w:tmpl w:val="D5F0022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973FCD"/>
    <w:multiLevelType w:val="hybridMultilevel"/>
    <w:tmpl w:val="96CA59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C5365E"/>
    <w:multiLevelType w:val="multilevel"/>
    <w:tmpl w:val="CD7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1E0A77"/>
    <w:multiLevelType w:val="hybridMultilevel"/>
    <w:tmpl w:val="3556A50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5570B4A"/>
    <w:multiLevelType w:val="hybridMultilevel"/>
    <w:tmpl w:val="B0E25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297E02"/>
    <w:multiLevelType w:val="hybridMultilevel"/>
    <w:tmpl w:val="C64E3D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986985"/>
    <w:multiLevelType w:val="hybridMultilevel"/>
    <w:tmpl w:val="9E86F3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83196F"/>
    <w:multiLevelType w:val="hybridMultilevel"/>
    <w:tmpl w:val="F3127D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3F2291"/>
    <w:multiLevelType w:val="hybridMultilevel"/>
    <w:tmpl w:val="923EF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7C3108"/>
    <w:multiLevelType w:val="hybridMultilevel"/>
    <w:tmpl w:val="8D4064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E37172"/>
    <w:multiLevelType w:val="hybridMultilevel"/>
    <w:tmpl w:val="CDBAD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882763"/>
    <w:multiLevelType w:val="hybridMultilevel"/>
    <w:tmpl w:val="8C0E8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346E07"/>
    <w:multiLevelType w:val="hybridMultilevel"/>
    <w:tmpl w:val="C3E488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525CC4"/>
    <w:multiLevelType w:val="hybridMultilevel"/>
    <w:tmpl w:val="31F04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89111D"/>
    <w:multiLevelType w:val="hybridMultilevel"/>
    <w:tmpl w:val="F8B848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39B4A95"/>
    <w:multiLevelType w:val="hybridMultilevel"/>
    <w:tmpl w:val="DAD83E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7485C5C"/>
    <w:multiLevelType w:val="hybridMultilevel"/>
    <w:tmpl w:val="DCC881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A53BE5"/>
    <w:multiLevelType w:val="hybridMultilevel"/>
    <w:tmpl w:val="040816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C1507D"/>
    <w:multiLevelType w:val="hybridMultilevel"/>
    <w:tmpl w:val="D04209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F22131"/>
    <w:multiLevelType w:val="hybridMultilevel"/>
    <w:tmpl w:val="388A51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533801"/>
    <w:multiLevelType w:val="hybridMultilevel"/>
    <w:tmpl w:val="9E3858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E350C7F"/>
    <w:multiLevelType w:val="hybridMultilevel"/>
    <w:tmpl w:val="3D7A0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9852CB"/>
    <w:multiLevelType w:val="hybridMultilevel"/>
    <w:tmpl w:val="1374A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513119A"/>
    <w:multiLevelType w:val="hybridMultilevel"/>
    <w:tmpl w:val="F7FAD10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1" w15:restartNumberingAfterBreak="0">
    <w:nsid w:val="594D38A2"/>
    <w:multiLevelType w:val="hybridMultilevel"/>
    <w:tmpl w:val="B172F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8A38C7"/>
    <w:multiLevelType w:val="hybridMultilevel"/>
    <w:tmpl w:val="D2A6A512"/>
    <w:lvl w:ilvl="0" w:tplc="419EB20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4" w15:restartNumberingAfterBreak="0">
    <w:nsid w:val="67091BC3"/>
    <w:multiLevelType w:val="multilevel"/>
    <w:tmpl w:val="9D3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2F321D"/>
    <w:multiLevelType w:val="hybridMultilevel"/>
    <w:tmpl w:val="5F56EA80"/>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6" w15:restartNumberingAfterBreak="0">
    <w:nsid w:val="718256D1"/>
    <w:multiLevelType w:val="hybridMultilevel"/>
    <w:tmpl w:val="97B6C8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7FE2B39"/>
    <w:multiLevelType w:val="hybridMultilevel"/>
    <w:tmpl w:val="26EE0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9126915"/>
    <w:multiLevelType w:val="hybridMultilevel"/>
    <w:tmpl w:val="53C65C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1A379D"/>
    <w:multiLevelType w:val="hybridMultilevel"/>
    <w:tmpl w:val="5036B1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12"/>
  </w:num>
  <w:num w:numId="3">
    <w:abstractNumId w:val="47"/>
  </w:num>
  <w:num w:numId="4">
    <w:abstractNumId w:val="0"/>
  </w:num>
  <w:num w:numId="5">
    <w:abstractNumId w:val="38"/>
  </w:num>
  <w:num w:numId="6">
    <w:abstractNumId w:val="18"/>
  </w:num>
  <w:num w:numId="7">
    <w:abstractNumId w:val="14"/>
  </w:num>
  <w:num w:numId="8">
    <w:abstractNumId w:val="40"/>
  </w:num>
  <w:num w:numId="9">
    <w:abstractNumId w:val="43"/>
  </w:num>
  <w:num w:numId="10">
    <w:abstractNumId w:val="44"/>
  </w:num>
  <w:num w:numId="11">
    <w:abstractNumId w:val="19"/>
  </w:num>
  <w:num w:numId="12">
    <w:abstractNumId w:val="11"/>
  </w:num>
  <w:num w:numId="13">
    <w:abstractNumId w:val="32"/>
  </w:num>
  <w:num w:numId="14">
    <w:abstractNumId w:val="30"/>
  </w:num>
  <w:num w:numId="15">
    <w:abstractNumId w:val="9"/>
  </w:num>
  <w:num w:numId="16">
    <w:abstractNumId w:val="2"/>
  </w:num>
  <w:num w:numId="17">
    <w:abstractNumId w:val="17"/>
  </w:num>
  <w:num w:numId="18">
    <w:abstractNumId w:val="20"/>
  </w:num>
  <w:num w:numId="19">
    <w:abstractNumId w:val="3"/>
  </w:num>
  <w:num w:numId="20">
    <w:abstractNumId w:val="25"/>
  </w:num>
  <w:num w:numId="21">
    <w:abstractNumId w:val="37"/>
  </w:num>
  <w:num w:numId="22">
    <w:abstractNumId w:val="31"/>
  </w:num>
  <w:num w:numId="23">
    <w:abstractNumId w:val="35"/>
  </w:num>
  <w:num w:numId="24">
    <w:abstractNumId w:val="39"/>
  </w:num>
  <w:num w:numId="25">
    <w:abstractNumId w:val="28"/>
  </w:num>
  <w:num w:numId="26">
    <w:abstractNumId w:val="27"/>
  </w:num>
  <w:num w:numId="27">
    <w:abstractNumId w:val="4"/>
  </w:num>
  <w:num w:numId="28">
    <w:abstractNumId w:val="1"/>
  </w:num>
  <w:num w:numId="29">
    <w:abstractNumId w:val="49"/>
  </w:num>
  <w:num w:numId="30">
    <w:abstractNumId w:val="45"/>
  </w:num>
  <w:num w:numId="31">
    <w:abstractNumId w:val="15"/>
  </w:num>
  <w:num w:numId="32">
    <w:abstractNumId w:val="46"/>
  </w:num>
  <w:num w:numId="33">
    <w:abstractNumId w:val="41"/>
  </w:num>
  <w:num w:numId="34">
    <w:abstractNumId w:val="24"/>
  </w:num>
  <w:num w:numId="35">
    <w:abstractNumId w:val="22"/>
  </w:num>
  <w:num w:numId="36">
    <w:abstractNumId w:val="13"/>
  </w:num>
  <w:num w:numId="37">
    <w:abstractNumId w:val="36"/>
  </w:num>
  <w:num w:numId="38">
    <w:abstractNumId w:val="16"/>
  </w:num>
  <w:num w:numId="39">
    <w:abstractNumId w:val="23"/>
  </w:num>
  <w:num w:numId="40">
    <w:abstractNumId w:val="6"/>
  </w:num>
  <w:num w:numId="41">
    <w:abstractNumId w:val="34"/>
  </w:num>
  <w:num w:numId="42">
    <w:abstractNumId w:val="29"/>
  </w:num>
  <w:num w:numId="43">
    <w:abstractNumId w:val="5"/>
  </w:num>
  <w:num w:numId="44">
    <w:abstractNumId w:val="10"/>
  </w:num>
  <w:num w:numId="45">
    <w:abstractNumId w:val="8"/>
  </w:num>
  <w:num w:numId="46">
    <w:abstractNumId w:val="21"/>
  </w:num>
  <w:num w:numId="47">
    <w:abstractNumId w:val="33"/>
  </w:num>
  <w:num w:numId="48">
    <w:abstractNumId w:val="48"/>
  </w:num>
  <w:num w:numId="49">
    <w:abstractNumId w:val="26"/>
  </w:num>
  <w:num w:numId="5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2910"/>
    <w:rsid w:val="00005002"/>
    <w:rsid w:val="00012B9E"/>
    <w:rsid w:val="00014F96"/>
    <w:rsid w:val="00015ADC"/>
    <w:rsid w:val="00017DB4"/>
    <w:rsid w:val="00024F2F"/>
    <w:rsid w:val="00025E7E"/>
    <w:rsid w:val="000260C2"/>
    <w:rsid w:val="0002716A"/>
    <w:rsid w:val="0003110F"/>
    <w:rsid w:val="0003678A"/>
    <w:rsid w:val="00036CBD"/>
    <w:rsid w:val="000401DE"/>
    <w:rsid w:val="00041564"/>
    <w:rsid w:val="000511AD"/>
    <w:rsid w:val="00052D3E"/>
    <w:rsid w:val="00057336"/>
    <w:rsid w:val="000607C8"/>
    <w:rsid w:val="00062C53"/>
    <w:rsid w:val="000672A2"/>
    <w:rsid w:val="000736F5"/>
    <w:rsid w:val="00073CD9"/>
    <w:rsid w:val="00073E8F"/>
    <w:rsid w:val="0007473D"/>
    <w:rsid w:val="000873D3"/>
    <w:rsid w:val="00090297"/>
    <w:rsid w:val="00090B99"/>
    <w:rsid w:val="000C1C2D"/>
    <w:rsid w:val="000C59D6"/>
    <w:rsid w:val="000C7942"/>
    <w:rsid w:val="000D3C15"/>
    <w:rsid w:val="000D65EB"/>
    <w:rsid w:val="000D6D4E"/>
    <w:rsid w:val="000D6DDE"/>
    <w:rsid w:val="000E47BE"/>
    <w:rsid w:val="000E6664"/>
    <w:rsid w:val="000F01AA"/>
    <w:rsid w:val="000F1B6C"/>
    <w:rsid w:val="000F3190"/>
    <w:rsid w:val="000F613D"/>
    <w:rsid w:val="000F747B"/>
    <w:rsid w:val="000F7D61"/>
    <w:rsid w:val="00102B8A"/>
    <w:rsid w:val="0010405D"/>
    <w:rsid w:val="0010457B"/>
    <w:rsid w:val="00105490"/>
    <w:rsid w:val="0010575D"/>
    <w:rsid w:val="00111459"/>
    <w:rsid w:val="00112A0B"/>
    <w:rsid w:val="00117E9B"/>
    <w:rsid w:val="001201B4"/>
    <w:rsid w:val="00132CF4"/>
    <w:rsid w:val="001363FA"/>
    <w:rsid w:val="00136AAE"/>
    <w:rsid w:val="001419AC"/>
    <w:rsid w:val="00145FE2"/>
    <w:rsid w:val="001470CD"/>
    <w:rsid w:val="001650B2"/>
    <w:rsid w:val="001675A7"/>
    <w:rsid w:val="001701A0"/>
    <w:rsid w:val="00172A1B"/>
    <w:rsid w:val="001748DB"/>
    <w:rsid w:val="00181D92"/>
    <w:rsid w:val="001833FA"/>
    <w:rsid w:val="0019280A"/>
    <w:rsid w:val="001939F8"/>
    <w:rsid w:val="001A1BD8"/>
    <w:rsid w:val="001A4E59"/>
    <w:rsid w:val="001B017C"/>
    <w:rsid w:val="001B18ED"/>
    <w:rsid w:val="001B1DC2"/>
    <w:rsid w:val="001B29BE"/>
    <w:rsid w:val="001B4CAC"/>
    <w:rsid w:val="001B547E"/>
    <w:rsid w:val="001C53F4"/>
    <w:rsid w:val="001C78C1"/>
    <w:rsid w:val="001D43EA"/>
    <w:rsid w:val="001D4763"/>
    <w:rsid w:val="001D5E23"/>
    <w:rsid w:val="001E03D0"/>
    <w:rsid w:val="001E3A89"/>
    <w:rsid w:val="001F1BC0"/>
    <w:rsid w:val="0020526F"/>
    <w:rsid w:val="002118A1"/>
    <w:rsid w:val="00214F93"/>
    <w:rsid w:val="00214FC2"/>
    <w:rsid w:val="00220539"/>
    <w:rsid w:val="00256CB1"/>
    <w:rsid w:val="00261FDF"/>
    <w:rsid w:val="00262B13"/>
    <w:rsid w:val="00270474"/>
    <w:rsid w:val="00272361"/>
    <w:rsid w:val="002725CC"/>
    <w:rsid w:val="00274673"/>
    <w:rsid w:val="00275004"/>
    <w:rsid w:val="00281C2E"/>
    <w:rsid w:val="00282501"/>
    <w:rsid w:val="00285875"/>
    <w:rsid w:val="0028724A"/>
    <w:rsid w:val="00291304"/>
    <w:rsid w:val="00293FEB"/>
    <w:rsid w:val="0029509B"/>
    <w:rsid w:val="002953BF"/>
    <w:rsid w:val="002A2F7D"/>
    <w:rsid w:val="002A4294"/>
    <w:rsid w:val="002A70D3"/>
    <w:rsid w:val="002A7A9B"/>
    <w:rsid w:val="002C314B"/>
    <w:rsid w:val="002C4D55"/>
    <w:rsid w:val="002D079A"/>
    <w:rsid w:val="002D1584"/>
    <w:rsid w:val="002D6917"/>
    <w:rsid w:val="002D78F0"/>
    <w:rsid w:val="002D7AE5"/>
    <w:rsid w:val="002F1327"/>
    <w:rsid w:val="002F7152"/>
    <w:rsid w:val="002F7B16"/>
    <w:rsid w:val="0030256E"/>
    <w:rsid w:val="00307570"/>
    <w:rsid w:val="00307E00"/>
    <w:rsid w:val="00311A0C"/>
    <w:rsid w:val="00312B5C"/>
    <w:rsid w:val="00314C37"/>
    <w:rsid w:val="00321A9A"/>
    <w:rsid w:val="003224A7"/>
    <w:rsid w:val="0032429A"/>
    <w:rsid w:val="003251D8"/>
    <w:rsid w:val="00326913"/>
    <w:rsid w:val="00333CEB"/>
    <w:rsid w:val="00334C10"/>
    <w:rsid w:val="00335428"/>
    <w:rsid w:val="00335C64"/>
    <w:rsid w:val="00336233"/>
    <w:rsid w:val="00344DEC"/>
    <w:rsid w:val="00346FE3"/>
    <w:rsid w:val="003474A7"/>
    <w:rsid w:val="00347DAF"/>
    <w:rsid w:val="0035454E"/>
    <w:rsid w:val="00355D48"/>
    <w:rsid w:val="00361902"/>
    <w:rsid w:val="00364FCC"/>
    <w:rsid w:val="0036628B"/>
    <w:rsid w:val="00374606"/>
    <w:rsid w:val="00380E55"/>
    <w:rsid w:val="00384C81"/>
    <w:rsid w:val="0038565A"/>
    <w:rsid w:val="00386DFF"/>
    <w:rsid w:val="003A0D01"/>
    <w:rsid w:val="003A43D5"/>
    <w:rsid w:val="003A492E"/>
    <w:rsid w:val="003A762F"/>
    <w:rsid w:val="003A7E2C"/>
    <w:rsid w:val="003B040C"/>
    <w:rsid w:val="003B2431"/>
    <w:rsid w:val="003C33C9"/>
    <w:rsid w:val="003C7825"/>
    <w:rsid w:val="003D3BED"/>
    <w:rsid w:val="003E09B8"/>
    <w:rsid w:val="003E1E4A"/>
    <w:rsid w:val="003E38D0"/>
    <w:rsid w:val="003E5228"/>
    <w:rsid w:val="003E5F2E"/>
    <w:rsid w:val="003E611C"/>
    <w:rsid w:val="003F21FE"/>
    <w:rsid w:val="003F402B"/>
    <w:rsid w:val="003F4F09"/>
    <w:rsid w:val="00400120"/>
    <w:rsid w:val="00407073"/>
    <w:rsid w:val="00415DFF"/>
    <w:rsid w:val="004206D0"/>
    <w:rsid w:val="004210AF"/>
    <w:rsid w:val="00441B1F"/>
    <w:rsid w:val="00443F9F"/>
    <w:rsid w:val="00454796"/>
    <w:rsid w:val="0045601C"/>
    <w:rsid w:val="0045770F"/>
    <w:rsid w:val="0045797F"/>
    <w:rsid w:val="004664C3"/>
    <w:rsid w:val="00466F96"/>
    <w:rsid w:val="004673BE"/>
    <w:rsid w:val="004679EA"/>
    <w:rsid w:val="0047260A"/>
    <w:rsid w:val="00474B3A"/>
    <w:rsid w:val="004764E5"/>
    <w:rsid w:val="00481AA2"/>
    <w:rsid w:val="00481E05"/>
    <w:rsid w:val="00484B5D"/>
    <w:rsid w:val="0048554F"/>
    <w:rsid w:val="00486028"/>
    <w:rsid w:val="00486537"/>
    <w:rsid w:val="004902A6"/>
    <w:rsid w:val="00491A58"/>
    <w:rsid w:val="00491C52"/>
    <w:rsid w:val="00494A30"/>
    <w:rsid w:val="00495CBC"/>
    <w:rsid w:val="00495EEC"/>
    <w:rsid w:val="004A5011"/>
    <w:rsid w:val="004A67C3"/>
    <w:rsid w:val="004A6BC9"/>
    <w:rsid w:val="004A748C"/>
    <w:rsid w:val="004A76EE"/>
    <w:rsid w:val="004A7E19"/>
    <w:rsid w:val="004A7E7A"/>
    <w:rsid w:val="004B003B"/>
    <w:rsid w:val="004B0965"/>
    <w:rsid w:val="004B1A3A"/>
    <w:rsid w:val="004B3749"/>
    <w:rsid w:val="004B5E2C"/>
    <w:rsid w:val="004C0333"/>
    <w:rsid w:val="004D0282"/>
    <w:rsid w:val="004D0D7E"/>
    <w:rsid w:val="004D7623"/>
    <w:rsid w:val="004D7798"/>
    <w:rsid w:val="004E4094"/>
    <w:rsid w:val="004E50F5"/>
    <w:rsid w:val="004E6CAC"/>
    <w:rsid w:val="004E78BB"/>
    <w:rsid w:val="005007A3"/>
    <w:rsid w:val="00510976"/>
    <w:rsid w:val="005214E6"/>
    <w:rsid w:val="00524A5D"/>
    <w:rsid w:val="00535A67"/>
    <w:rsid w:val="005370F4"/>
    <w:rsid w:val="0054008B"/>
    <w:rsid w:val="00540F8B"/>
    <w:rsid w:val="00541138"/>
    <w:rsid w:val="005466A2"/>
    <w:rsid w:val="0054672F"/>
    <w:rsid w:val="00550E1E"/>
    <w:rsid w:val="0055368B"/>
    <w:rsid w:val="00554029"/>
    <w:rsid w:val="00554259"/>
    <w:rsid w:val="005549C4"/>
    <w:rsid w:val="005656F2"/>
    <w:rsid w:val="005677A0"/>
    <w:rsid w:val="005772B3"/>
    <w:rsid w:val="00583BDD"/>
    <w:rsid w:val="00585D27"/>
    <w:rsid w:val="0059691F"/>
    <w:rsid w:val="00597121"/>
    <w:rsid w:val="005A408F"/>
    <w:rsid w:val="005A4119"/>
    <w:rsid w:val="005A6CA4"/>
    <w:rsid w:val="005B6944"/>
    <w:rsid w:val="005B6C9E"/>
    <w:rsid w:val="005C0361"/>
    <w:rsid w:val="005C2C1F"/>
    <w:rsid w:val="005C39E7"/>
    <w:rsid w:val="005D2440"/>
    <w:rsid w:val="005D3BFC"/>
    <w:rsid w:val="005D75FA"/>
    <w:rsid w:val="005E088C"/>
    <w:rsid w:val="005E08E8"/>
    <w:rsid w:val="005E4B7B"/>
    <w:rsid w:val="005E6165"/>
    <w:rsid w:val="005E6A4B"/>
    <w:rsid w:val="005E6DCD"/>
    <w:rsid w:val="005E7730"/>
    <w:rsid w:val="005F0434"/>
    <w:rsid w:val="005F052D"/>
    <w:rsid w:val="005F7576"/>
    <w:rsid w:val="00611D97"/>
    <w:rsid w:val="006148A9"/>
    <w:rsid w:val="00624CF4"/>
    <w:rsid w:val="0062684E"/>
    <w:rsid w:val="006363E2"/>
    <w:rsid w:val="00636B65"/>
    <w:rsid w:val="00640F75"/>
    <w:rsid w:val="00645A3A"/>
    <w:rsid w:val="00657179"/>
    <w:rsid w:val="00673DE6"/>
    <w:rsid w:val="0068052A"/>
    <w:rsid w:val="00681DFC"/>
    <w:rsid w:val="00682C02"/>
    <w:rsid w:val="0068354E"/>
    <w:rsid w:val="00690699"/>
    <w:rsid w:val="00691FD6"/>
    <w:rsid w:val="00695161"/>
    <w:rsid w:val="00695988"/>
    <w:rsid w:val="006A13D4"/>
    <w:rsid w:val="006A19E1"/>
    <w:rsid w:val="006B38F8"/>
    <w:rsid w:val="006B3C74"/>
    <w:rsid w:val="006B7860"/>
    <w:rsid w:val="006C1C8C"/>
    <w:rsid w:val="006C3D7A"/>
    <w:rsid w:val="006C519D"/>
    <w:rsid w:val="006C5B78"/>
    <w:rsid w:val="006D416A"/>
    <w:rsid w:val="006D7560"/>
    <w:rsid w:val="006D7BE6"/>
    <w:rsid w:val="006E29FF"/>
    <w:rsid w:val="006E5ED7"/>
    <w:rsid w:val="006E6104"/>
    <w:rsid w:val="006F00A5"/>
    <w:rsid w:val="006F2BF9"/>
    <w:rsid w:val="006F79D3"/>
    <w:rsid w:val="00703D19"/>
    <w:rsid w:val="00707575"/>
    <w:rsid w:val="00710D3F"/>
    <w:rsid w:val="00721FB1"/>
    <w:rsid w:val="00722E33"/>
    <w:rsid w:val="007263D7"/>
    <w:rsid w:val="00732813"/>
    <w:rsid w:val="00735E5C"/>
    <w:rsid w:val="00735F64"/>
    <w:rsid w:val="00737F51"/>
    <w:rsid w:val="007423BA"/>
    <w:rsid w:val="00744D74"/>
    <w:rsid w:val="00745935"/>
    <w:rsid w:val="0075266E"/>
    <w:rsid w:val="00754F77"/>
    <w:rsid w:val="00761709"/>
    <w:rsid w:val="00763E4A"/>
    <w:rsid w:val="007660F5"/>
    <w:rsid w:val="0076624E"/>
    <w:rsid w:val="00775133"/>
    <w:rsid w:val="00784A00"/>
    <w:rsid w:val="00786969"/>
    <w:rsid w:val="00791893"/>
    <w:rsid w:val="007952AB"/>
    <w:rsid w:val="00795308"/>
    <w:rsid w:val="007A586E"/>
    <w:rsid w:val="007A5C14"/>
    <w:rsid w:val="007B37AE"/>
    <w:rsid w:val="007B4945"/>
    <w:rsid w:val="007B5EF5"/>
    <w:rsid w:val="007C1117"/>
    <w:rsid w:val="007C474D"/>
    <w:rsid w:val="007C4987"/>
    <w:rsid w:val="007D5C97"/>
    <w:rsid w:val="007E08ED"/>
    <w:rsid w:val="007E5964"/>
    <w:rsid w:val="007E6A1D"/>
    <w:rsid w:val="007E723C"/>
    <w:rsid w:val="007F17CB"/>
    <w:rsid w:val="007F1B48"/>
    <w:rsid w:val="007F76A8"/>
    <w:rsid w:val="00802C71"/>
    <w:rsid w:val="00804C13"/>
    <w:rsid w:val="00805200"/>
    <w:rsid w:val="008069AF"/>
    <w:rsid w:val="008071FD"/>
    <w:rsid w:val="00810752"/>
    <w:rsid w:val="00811BC1"/>
    <w:rsid w:val="00813BFE"/>
    <w:rsid w:val="00817870"/>
    <w:rsid w:val="00817E7F"/>
    <w:rsid w:val="00821296"/>
    <w:rsid w:val="0082353A"/>
    <w:rsid w:val="00823EBC"/>
    <w:rsid w:val="008262BD"/>
    <w:rsid w:val="008275DC"/>
    <w:rsid w:val="00830066"/>
    <w:rsid w:val="0083132C"/>
    <w:rsid w:val="00831723"/>
    <w:rsid w:val="008358D1"/>
    <w:rsid w:val="00837E79"/>
    <w:rsid w:val="00845B33"/>
    <w:rsid w:val="00852F4F"/>
    <w:rsid w:val="00854DA3"/>
    <w:rsid w:val="00860D89"/>
    <w:rsid w:val="00861AD0"/>
    <w:rsid w:val="008626E3"/>
    <w:rsid w:val="00863139"/>
    <w:rsid w:val="00863DDD"/>
    <w:rsid w:val="008663B9"/>
    <w:rsid w:val="00872C10"/>
    <w:rsid w:val="008802FB"/>
    <w:rsid w:val="00882C2D"/>
    <w:rsid w:val="00886422"/>
    <w:rsid w:val="00892E14"/>
    <w:rsid w:val="00894A43"/>
    <w:rsid w:val="008A04F6"/>
    <w:rsid w:val="008A260B"/>
    <w:rsid w:val="008B20F5"/>
    <w:rsid w:val="008B2251"/>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2F8E"/>
    <w:rsid w:val="008E57B2"/>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7E80"/>
    <w:rsid w:val="00971060"/>
    <w:rsid w:val="00971432"/>
    <w:rsid w:val="00971935"/>
    <w:rsid w:val="00976C63"/>
    <w:rsid w:val="00984A2A"/>
    <w:rsid w:val="009868D5"/>
    <w:rsid w:val="009869CE"/>
    <w:rsid w:val="0099021A"/>
    <w:rsid w:val="009922B4"/>
    <w:rsid w:val="00993E0B"/>
    <w:rsid w:val="009946DD"/>
    <w:rsid w:val="009957B3"/>
    <w:rsid w:val="00997C68"/>
    <w:rsid w:val="009A43EE"/>
    <w:rsid w:val="009A77D4"/>
    <w:rsid w:val="009B26B5"/>
    <w:rsid w:val="009B4FE5"/>
    <w:rsid w:val="009C0F47"/>
    <w:rsid w:val="009C1C71"/>
    <w:rsid w:val="009C1D33"/>
    <w:rsid w:val="009C2364"/>
    <w:rsid w:val="009C7D38"/>
    <w:rsid w:val="009D1495"/>
    <w:rsid w:val="009D56DD"/>
    <w:rsid w:val="009D7D87"/>
    <w:rsid w:val="009F5B3F"/>
    <w:rsid w:val="009F7DE1"/>
    <w:rsid w:val="00A000A4"/>
    <w:rsid w:val="00A01857"/>
    <w:rsid w:val="00A032F5"/>
    <w:rsid w:val="00A0669A"/>
    <w:rsid w:val="00A16404"/>
    <w:rsid w:val="00A20C95"/>
    <w:rsid w:val="00A24711"/>
    <w:rsid w:val="00A2599D"/>
    <w:rsid w:val="00A30750"/>
    <w:rsid w:val="00A331DC"/>
    <w:rsid w:val="00A3357D"/>
    <w:rsid w:val="00A37F67"/>
    <w:rsid w:val="00A432A7"/>
    <w:rsid w:val="00A51303"/>
    <w:rsid w:val="00A61099"/>
    <w:rsid w:val="00A616A7"/>
    <w:rsid w:val="00A624BB"/>
    <w:rsid w:val="00A75AC2"/>
    <w:rsid w:val="00A77C5E"/>
    <w:rsid w:val="00A830B5"/>
    <w:rsid w:val="00A9096E"/>
    <w:rsid w:val="00A97418"/>
    <w:rsid w:val="00AA2219"/>
    <w:rsid w:val="00AA2DF0"/>
    <w:rsid w:val="00AA361A"/>
    <w:rsid w:val="00AA52A5"/>
    <w:rsid w:val="00AB040F"/>
    <w:rsid w:val="00AB09C4"/>
    <w:rsid w:val="00AB4CAB"/>
    <w:rsid w:val="00AB6035"/>
    <w:rsid w:val="00AD0E4D"/>
    <w:rsid w:val="00AD218A"/>
    <w:rsid w:val="00AD5CF2"/>
    <w:rsid w:val="00AD6859"/>
    <w:rsid w:val="00AE125E"/>
    <w:rsid w:val="00AE1C5E"/>
    <w:rsid w:val="00AE5827"/>
    <w:rsid w:val="00AF0106"/>
    <w:rsid w:val="00AF1418"/>
    <w:rsid w:val="00B00A18"/>
    <w:rsid w:val="00B00F9A"/>
    <w:rsid w:val="00B05EAF"/>
    <w:rsid w:val="00B15183"/>
    <w:rsid w:val="00B202CE"/>
    <w:rsid w:val="00B22555"/>
    <w:rsid w:val="00B22D99"/>
    <w:rsid w:val="00B271D9"/>
    <w:rsid w:val="00B433E8"/>
    <w:rsid w:val="00B43534"/>
    <w:rsid w:val="00B44DB5"/>
    <w:rsid w:val="00B45BD6"/>
    <w:rsid w:val="00B564A9"/>
    <w:rsid w:val="00B5716E"/>
    <w:rsid w:val="00B60CFB"/>
    <w:rsid w:val="00B62FD4"/>
    <w:rsid w:val="00B65A84"/>
    <w:rsid w:val="00B65AA3"/>
    <w:rsid w:val="00B7042F"/>
    <w:rsid w:val="00B733AC"/>
    <w:rsid w:val="00B7686F"/>
    <w:rsid w:val="00B76E78"/>
    <w:rsid w:val="00B9082F"/>
    <w:rsid w:val="00B918BB"/>
    <w:rsid w:val="00B929D2"/>
    <w:rsid w:val="00B9329E"/>
    <w:rsid w:val="00B94B7E"/>
    <w:rsid w:val="00BA41E6"/>
    <w:rsid w:val="00BB16CA"/>
    <w:rsid w:val="00BB4679"/>
    <w:rsid w:val="00BC0A6A"/>
    <w:rsid w:val="00BC50CB"/>
    <w:rsid w:val="00BD0626"/>
    <w:rsid w:val="00BD096F"/>
    <w:rsid w:val="00BD2AA4"/>
    <w:rsid w:val="00BD413F"/>
    <w:rsid w:val="00BD4AD5"/>
    <w:rsid w:val="00BD53C0"/>
    <w:rsid w:val="00BE5B2D"/>
    <w:rsid w:val="00BF425D"/>
    <w:rsid w:val="00BF4759"/>
    <w:rsid w:val="00BF5A00"/>
    <w:rsid w:val="00BF7868"/>
    <w:rsid w:val="00BF7C7E"/>
    <w:rsid w:val="00C06A60"/>
    <w:rsid w:val="00C0733A"/>
    <w:rsid w:val="00C07835"/>
    <w:rsid w:val="00C153AD"/>
    <w:rsid w:val="00C21EBA"/>
    <w:rsid w:val="00C22986"/>
    <w:rsid w:val="00C335FC"/>
    <w:rsid w:val="00C357BA"/>
    <w:rsid w:val="00C35CE1"/>
    <w:rsid w:val="00C36024"/>
    <w:rsid w:val="00C374F1"/>
    <w:rsid w:val="00C441E8"/>
    <w:rsid w:val="00C44BA5"/>
    <w:rsid w:val="00C54E4F"/>
    <w:rsid w:val="00C57CF4"/>
    <w:rsid w:val="00C632B8"/>
    <w:rsid w:val="00C65FCD"/>
    <w:rsid w:val="00C7018F"/>
    <w:rsid w:val="00C7078F"/>
    <w:rsid w:val="00C72B44"/>
    <w:rsid w:val="00C72F09"/>
    <w:rsid w:val="00C771BF"/>
    <w:rsid w:val="00C84361"/>
    <w:rsid w:val="00C84664"/>
    <w:rsid w:val="00C869AA"/>
    <w:rsid w:val="00C904AA"/>
    <w:rsid w:val="00C96FF6"/>
    <w:rsid w:val="00CA085C"/>
    <w:rsid w:val="00CA11BD"/>
    <w:rsid w:val="00CA19C1"/>
    <w:rsid w:val="00CB1A01"/>
    <w:rsid w:val="00CB41C6"/>
    <w:rsid w:val="00CB5465"/>
    <w:rsid w:val="00CB7EB4"/>
    <w:rsid w:val="00CC11CF"/>
    <w:rsid w:val="00CD1F44"/>
    <w:rsid w:val="00CE1D11"/>
    <w:rsid w:val="00CF0C62"/>
    <w:rsid w:val="00CF190D"/>
    <w:rsid w:val="00CF1D7F"/>
    <w:rsid w:val="00CF2C88"/>
    <w:rsid w:val="00CF794B"/>
    <w:rsid w:val="00D015CD"/>
    <w:rsid w:val="00D03220"/>
    <w:rsid w:val="00D065E8"/>
    <w:rsid w:val="00D12D15"/>
    <w:rsid w:val="00D17106"/>
    <w:rsid w:val="00D24698"/>
    <w:rsid w:val="00D24F72"/>
    <w:rsid w:val="00D25941"/>
    <w:rsid w:val="00D34BC5"/>
    <w:rsid w:val="00D36CF5"/>
    <w:rsid w:val="00D41063"/>
    <w:rsid w:val="00D4164C"/>
    <w:rsid w:val="00D42384"/>
    <w:rsid w:val="00D426EA"/>
    <w:rsid w:val="00D45973"/>
    <w:rsid w:val="00D46E93"/>
    <w:rsid w:val="00D50587"/>
    <w:rsid w:val="00D50A0E"/>
    <w:rsid w:val="00D50E3E"/>
    <w:rsid w:val="00D52E7B"/>
    <w:rsid w:val="00D53188"/>
    <w:rsid w:val="00D55233"/>
    <w:rsid w:val="00D64B7C"/>
    <w:rsid w:val="00D65525"/>
    <w:rsid w:val="00D66A50"/>
    <w:rsid w:val="00D70AEC"/>
    <w:rsid w:val="00D74046"/>
    <w:rsid w:val="00D75DC5"/>
    <w:rsid w:val="00D77664"/>
    <w:rsid w:val="00D808A9"/>
    <w:rsid w:val="00D81E58"/>
    <w:rsid w:val="00D872C1"/>
    <w:rsid w:val="00D9408D"/>
    <w:rsid w:val="00D94796"/>
    <w:rsid w:val="00DA5EAF"/>
    <w:rsid w:val="00DB2D66"/>
    <w:rsid w:val="00DB33B9"/>
    <w:rsid w:val="00DB7AF3"/>
    <w:rsid w:val="00DB7EF8"/>
    <w:rsid w:val="00DC1426"/>
    <w:rsid w:val="00DD15F2"/>
    <w:rsid w:val="00DD1B82"/>
    <w:rsid w:val="00DD7033"/>
    <w:rsid w:val="00DE588B"/>
    <w:rsid w:val="00DF1B14"/>
    <w:rsid w:val="00DF2422"/>
    <w:rsid w:val="00E0351C"/>
    <w:rsid w:val="00E039CD"/>
    <w:rsid w:val="00E079EB"/>
    <w:rsid w:val="00E07DCD"/>
    <w:rsid w:val="00E10427"/>
    <w:rsid w:val="00E111F4"/>
    <w:rsid w:val="00E11825"/>
    <w:rsid w:val="00E122BD"/>
    <w:rsid w:val="00E16F47"/>
    <w:rsid w:val="00E171FB"/>
    <w:rsid w:val="00E177DE"/>
    <w:rsid w:val="00E21332"/>
    <w:rsid w:val="00E2682A"/>
    <w:rsid w:val="00E26911"/>
    <w:rsid w:val="00E324D2"/>
    <w:rsid w:val="00E37C78"/>
    <w:rsid w:val="00E53580"/>
    <w:rsid w:val="00E538CA"/>
    <w:rsid w:val="00E5653F"/>
    <w:rsid w:val="00E60315"/>
    <w:rsid w:val="00E628A3"/>
    <w:rsid w:val="00E73552"/>
    <w:rsid w:val="00E73D26"/>
    <w:rsid w:val="00E8143C"/>
    <w:rsid w:val="00E93246"/>
    <w:rsid w:val="00E93B8F"/>
    <w:rsid w:val="00EA6047"/>
    <w:rsid w:val="00EA6656"/>
    <w:rsid w:val="00EA7543"/>
    <w:rsid w:val="00EA7B72"/>
    <w:rsid w:val="00EB032C"/>
    <w:rsid w:val="00EB1500"/>
    <w:rsid w:val="00EB4876"/>
    <w:rsid w:val="00EB4EBC"/>
    <w:rsid w:val="00EB6D5B"/>
    <w:rsid w:val="00EB73E4"/>
    <w:rsid w:val="00EC0880"/>
    <w:rsid w:val="00EC217E"/>
    <w:rsid w:val="00EC6CA5"/>
    <w:rsid w:val="00ED701C"/>
    <w:rsid w:val="00ED7049"/>
    <w:rsid w:val="00EE0F48"/>
    <w:rsid w:val="00EE16BA"/>
    <w:rsid w:val="00EE6D01"/>
    <w:rsid w:val="00EF100D"/>
    <w:rsid w:val="00EF3612"/>
    <w:rsid w:val="00F0245E"/>
    <w:rsid w:val="00F02D7D"/>
    <w:rsid w:val="00F07BFE"/>
    <w:rsid w:val="00F07F27"/>
    <w:rsid w:val="00F106C0"/>
    <w:rsid w:val="00F12A10"/>
    <w:rsid w:val="00F14E5C"/>
    <w:rsid w:val="00F22251"/>
    <w:rsid w:val="00F2400F"/>
    <w:rsid w:val="00F25316"/>
    <w:rsid w:val="00F26590"/>
    <w:rsid w:val="00F2661B"/>
    <w:rsid w:val="00F31068"/>
    <w:rsid w:val="00F3154E"/>
    <w:rsid w:val="00F318F1"/>
    <w:rsid w:val="00F33748"/>
    <w:rsid w:val="00F33F5C"/>
    <w:rsid w:val="00F35C24"/>
    <w:rsid w:val="00F3668E"/>
    <w:rsid w:val="00F374BE"/>
    <w:rsid w:val="00F463DC"/>
    <w:rsid w:val="00F51AAC"/>
    <w:rsid w:val="00F54507"/>
    <w:rsid w:val="00F55204"/>
    <w:rsid w:val="00F640D9"/>
    <w:rsid w:val="00F670DA"/>
    <w:rsid w:val="00F70187"/>
    <w:rsid w:val="00F7038D"/>
    <w:rsid w:val="00F721C9"/>
    <w:rsid w:val="00F74BB6"/>
    <w:rsid w:val="00F75DB6"/>
    <w:rsid w:val="00F76866"/>
    <w:rsid w:val="00F77503"/>
    <w:rsid w:val="00F8013B"/>
    <w:rsid w:val="00F837A5"/>
    <w:rsid w:val="00F8672B"/>
    <w:rsid w:val="00F90908"/>
    <w:rsid w:val="00F96E65"/>
    <w:rsid w:val="00FB24A7"/>
    <w:rsid w:val="00FB391E"/>
    <w:rsid w:val="00FC1D38"/>
    <w:rsid w:val="00FC2455"/>
    <w:rsid w:val="00FC3200"/>
    <w:rsid w:val="00FC7650"/>
    <w:rsid w:val="00FD136C"/>
    <w:rsid w:val="00FD5AC0"/>
    <w:rsid w:val="00FD661B"/>
    <w:rsid w:val="00FD7437"/>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5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bes.fr/wp-content/uploads/2022/06/modification-formats-echange-unimarc-dans-le-sudoc.pdf"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knowledge.exlibrisgroup.com/Alma/Release_Notes/2022/Alma_2023_Release_Notes?mon=202302BA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710C9"/>
    <w:rsid w:val="000C66EF"/>
    <w:rsid w:val="001D43AB"/>
    <w:rsid w:val="0020716B"/>
    <w:rsid w:val="00253EAA"/>
    <w:rsid w:val="00285A07"/>
    <w:rsid w:val="0030047C"/>
    <w:rsid w:val="003942C8"/>
    <w:rsid w:val="003C51E5"/>
    <w:rsid w:val="00496622"/>
    <w:rsid w:val="006378F0"/>
    <w:rsid w:val="006816E7"/>
    <w:rsid w:val="006D448B"/>
    <w:rsid w:val="006E63FF"/>
    <w:rsid w:val="006E761A"/>
    <w:rsid w:val="008F5EF0"/>
    <w:rsid w:val="00A67A04"/>
    <w:rsid w:val="00AB00C3"/>
    <w:rsid w:val="00B20AE5"/>
    <w:rsid w:val="00B955F0"/>
    <w:rsid w:val="00C66D07"/>
    <w:rsid w:val="00DD50BF"/>
    <w:rsid w:val="00E22BFD"/>
    <w:rsid w:val="00E32E7A"/>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9EFE7-C84F-4EC6-9B9B-13F32CE1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21</Pages>
  <Words>2427</Words>
  <Characters>13354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Note de version Alma – 1er trimestre 2023</vt:lpstr>
    </vt:vector>
  </TitlesOfParts>
  <Company>Microsoft</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1er trimestre 2023</dc:title>
  <dc:subject/>
  <dc:creator>Loïc Ducasse</dc:creator>
  <cp:keywords/>
  <dc:description/>
  <cp:lastModifiedBy>Loic Ducasse</cp:lastModifiedBy>
  <cp:revision>14</cp:revision>
  <dcterms:created xsi:type="dcterms:W3CDTF">2023-01-24T10:30:00Z</dcterms:created>
  <dcterms:modified xsi:type="dcterms:W3CDTF">2023-01-31T09:39:00Z</dcterms:modified>
</cp:coreProperties>
</file>