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7E32A" w14:textId="77777777" w:rsidR="00D50587" w:rsidRDefault="00117E9B" w:rsidP="0000222F">
      <w:pPr>
        <w:pStyle w:val="Citationintense"/>
        <w:rPr>
          <w:rStyle w:val="Emphaseple"/>
          <w:b/>
          <w:sz w:val="56"/>
        </w:rPr>
      </w:pPr>
      <w:bookmarkStart w:id="0" w:name="_Hlk37953237"/>
      <w:r>
        <w:rPr>
          <w:rStyle w:val="Emphaseple"/>
          <w:b/>
          <w:sz w:val="56"/>
        </w:rPr>
        <w:t>Note de version Alma –</w:t>
      </w:r>
      <w:r w:rsidR="00B62FD4">
        <w:rPr>
          <w:rStyle w:val="Emphaseple"/>
          <w:b/>
          <w:sz w:val="56"/>
        </w:rPr>
        <w:t xml:space="preserve">  </w:t>
      </w:r>
    </w:p>
    <w:p w14:paraId="34D27549" w14:textId="76D53647" w:rsidR="009922B4" w:rsidRPr="0000222F" w:rsidRDefault="00334C10" w:rsidP="0000222F">
      <w:pPr>
        <w:pStyle w:val="Citationintense"/>
        <w:rPr>
          <w:rStyle w:val="Emphaseple"/>
          <w:b/>
          <w:sz w:val="56"/>
        </w:rPr>
      </w:pPr>
      <w:r>
        <w:rPr>
          <w:rStyle w:val="Emphaseple"/>
          <w:b/>
          <w:sz w:val="56"/>
        </w:rPr>
        <w:t>Quatrième</w:t>
      </w:r>
      <w:r w:rsidR="00CF0C62">
        <w:rPr>
          <w:rStyle w:val="Emphaseple"/>
          <w:b/>
          <w:sz w:val="56"/>
        </w:rPr>
        <w:t xml:space="preserve"> trimestre</w:t>
      </w:r>
      <w:r w:rsidR="008D47B2">
        <w:rPr>
          <w:rStyle w:val="Emphaseple"/>
          <w:b/>
          <w:sz w:val="56"/>
        </w:rPr>
        <w:t xml:space="preserve"> 2022</w:t>
      </w:r>
    </w:p>
    <w:p w14:paraId="08EA3FC0" w14:textId="77777777" w:rsidR="004B003B" w:rsidRDefault="004B003B" w:rsidP="004B003B"/>
    <w:p w14:paraId="6F6F19BE" w14:textId="70C1AD7D" w:rsidR="003C33C9" w:rsidRDefault="009868D5" w:rsidP="008262BD">
      <w:pPr>
        <w:jc w:val="both"/>
      </w:pPr>
      <w:r w:rsidRPr="00270474">
        <w:rPr>
          <w:rFonts w:ascii="Helvetica" w:hAnsi="Helvetica" w:cs="Helvetica"/>
          <w:sz w:val="16"/>
          <w:szCs w:val="16"/>
        </w:rPr>
        <w:t>Source :</w:t>
      </w:r>
      <w:bookmarkStart w:id="1" w:name="_Hlk37951315"/>
      <w:r w:rsidR="003C33C9">
        <w:rPr>
          <w:rFonts w:ascii="Helvetica" w:hAnsi="Helvetica" w:cs="Helvetica"/>
          <w:sz w:val="16"/>
          <w:szCs w:val="16"/>
        </w:rPr>
        <w:t xml:space="preserve"> </w:t>
      </w:r>
      <w:hyperlink r:id="rId8" w:history="1">
        <w:r w:rsidR="00334C10" w:rsidRPr="000A04AA">
          <w:rPr>
            <w:rStyle w:val="Lienhypertexte"/>
            <w:sz w:val="18"/>
            <w:szCs w:val="18"/>
          </w:rPr>
          <w:t>https://knowledge.exlibrisgroup.com/Alma/Release_Notes/2022/Alma_2022_Release_Notes?mon=202211BASE</w:t>
        </w:r>
      </w:hyperlink>
    </w:p>
    <w:p w14:paraId="2829D917" w14:textId="77777777" w:rsidR="00D065E8" w:rsidRDefault="00D065E8" w:rsidP="008262BD">
      <w:pPr>
        <w:jc w:val="both"/>
        <w:rPr>
          <w:rStyle w:val="Lienhypertexte"/>
          <w:sz w:val="18"/>
          <w:szCs w:val="18"/>
        </w:rPr>
      </w:pPr>
    </w:p>
    <w:bookmarkEnd w:id="0"/>
    <w:bookmarkEnd w:id="1"/>
    <w:p w14:paraId="319CD436" w14:textId="638D5AB5" w:rsidR="00AE5827" w:rsidRDefault="00AE5827" w:rsidP="00AE5827">
      <w:pPr>
        <w:keepNext/>
        <w:keepLines/>
        <w:spacing w:before="240" w:after="0"/>
        <w:jc w:val="both"/>
        <w:outlineLvl w:val="0"/>
        <w:rPr>
          <w:rFonts w:eastAsiaTheme="majorEastAsia" w:cstheme="majorBidi"/>
          <w:sz w:val="40"/>
          <w:szCs w:val="32"/>
        </w:rPr>
      </w:pPr>
      <w:r>
        <w:rPr>
          <w:rFonts w:eastAsiaTheme="majorEastAsia" w:cstheme="majorBidi"/>
          <w:sz w:val="40"/>
          <w:szCs w:val="32"/>
        </w:rPr>
        <w:t>Administration</w:t>
      </w:r>
    </w:p>
    <w:p w14:paraId="6885EC76" w14:textId="5C8FECDE" w:rsidR="00AE5827" w:rsidRPr="00852F4F" w:rsidRDefault="00214F93" w:rsidP="00AE5827">
      <w:pPr>
        <w:jc w:val="both"/>
        <w:rPr>
          <w:rFonts w:eastAsia="Times New Roman" w:cstheme="minorHAnsi"/>
          <w:color w:val="000000"/>
          <w:sz w:val="32"/>
          <w:szCs w:val="32"/>
          <w:lang w:eastAsia="fr-FR"/>
        </w:rPr>
      </w:pPr>
      <w:r>
        <w:rPr>
          <w:rFonts w:eastAsia="Times New Roman" w:cstheme="minorHAnsi"/>
          <w:color w:val="000000"/>
          <w:sz w:val="32"/>
          <w:szCs w:val="32"/>
          <w:lang w:eastAsia="fr-FR"/>
        </w:rPr>
        <w:t>Configuration des courriers</w:t>
      </w:r>
    </w:p>
    <w:p w14:paraId="246F4398" w14:textId="76F1BAFE" w:rsidR="003F4F09" w:rsidRPr="00214F93" w:rsidRDefault="00214F93" w:rsidP="00214F9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Alma supporte désormais la version 3 du langage de description XSLT. Les courriers configurés sous la version 1 continuent à fonctionner normalement. </w:t>
      </w:r>
      <w:r w:rsidR="003F4F09">
        <w:rPr>
          <w:rFonts w:ascii="Helvetica" w:eastAsia="Times New Roman" w:hAnsi="Helvetica" w:cs="Helvetica"/>
          <w:color w:val="000000"/>
          <w:sz w:val="20"/>
          <w:szCs w:val="20"/>
          <w:lang w:eastAsia="fr-FR"/>
        </w:rPr>
        <w:t xml:space="preserve"> </w:t>
      </w:r>
    </w:p>
    <w:p w14:paraId="7900AFFC" w14:textId="77777777" w:rsidR="006F00A5" w:rsidRDefault="006F00A5" w:rsidP="006F00A5">
      <w:pPr>
        <w:jc w:val="both"/>
        <w:rPr>
          <w:rFonts w:ascii="Helvetica" w:hAnsi="Helvetica"/>
          <w:sz w:val="20"/>
          <w:szCs w:val="20"/>
        </w:rPr>
      </w:pPr>
    </w:p>
    <w:p w14:paraId="2A6C5028" w14:textId="77777777" w:rsidR="006F00A5" w:rsidRPr="001B017C" w:rsidRDefault="006F00A5" w:rsidP="006F00A5">
      <w:pPr>
        <w:jc w:val="both"/>
        <w:rPr>
          <w:rFonts w:ascii="Helvetica" w:hAnsi="Helvetica"/>
          <w:sz w:val="20"/>
          <w:szCs w:val="20"/>
        </w:rPr>
      </w:pPr>
    </w:p>
    <w:p w14:paraId="184BE0E1" w14:textId="00F472E2" w:rsidR="006F00A5" w:rsidRDefault="00214F93" w:rsidP="006F00A5">
      <w:pPr>
        <w:jc w:val="both"/>
        <w:rPr>
          <w:sz w:val="32"/>
          <w:szCs w:val="32"/>
        </w:rPr>
      </w:pPr>
      <w:r>
        <w:rPr>
          <w:sz w:val="32"/>
          <w:szCs w:val="32"/>
        </w:rPr>
        <w:t>Bouton « Vider le formulaire »</w:t>
      </w:r>
    </w:p>
    <w:p w14:paraId="2963035A" w14:textId="1F38535B" w:rsidR="003F4F09" w:rsidRDefault="00963CEF" w:rsidP="006F00A5">
      <w:pPr>
        <w:rPr>
          <w:rFonts w:ascii="Helvetica" w:hAnsi="Helvetica"/>
          <w:sz w:val="20"/>
          <w:szCs w:val="20"/>
        </w:rPr>
      </w:pPr>
      <w:r>
        <w:rPr>
          <w:rFonts w:ascii="Helvetica" w:hAnsi="Helvetica"/>
          <w:sz w:val="20"/>
          <w:szCs w:val="20"/>
        </w:rPr>
        <w:t xml:space="preserve">La recherche avancée de notices de fond propose un bouton qui permet de réinitialiser la recherche, c’est-à-dire qu’il ne se content pas de vider les champs de recherche mais supprime directement les index. Il est à noter que son libellé est pour le moment en anglais et que cette fonction sera </w:t>
      </w:r>
      <w:proofErr w:type="gramStart"/>
      <w:r>
        <w:rPr>
          <w:rFonts w:ascii="Helvetica" w:hAnsi="Helvetica"/>
          <w:sz w:val="20"/>
          <w:szCs w:val="20"/>
        </w:rPr>
        <w:t>proposé</w:t>
      </w:r>
      <w:proofErr w:type="gramEnd"/>
      <w:r>
        <w:rPr>
          <w:rFonts w:ascii="Helvetica" w:hAnsi="Helvetica"/>
          <w:sz w:val="20"/>
          <w:szCs w:val="20"/>
        </w:rPr>
        <w:t xml:space="preserve"> à l’avenir à tous les environnements de recherche, au fur et à mesure de l’implémentation de la nouvelle organisation des formulaires de recherche et pages de résultats. </w:t>
      </w:r>
    </w:p>
    <w:p w14:paraId="4EE28806" w14:textId="26D67454" w:rsidR="00963CEF" w:rsidRDefault="00963CEF" w:rsidP="006F00A5">
      <w:pPr>
        <w:rPr>
          <w:rFonts w:ascii="Helvetica" w:hAnsi="Helvetica"/>
          <w:sz w:val="20"/>
          <w:szCs w:val="20"/>
        </w:rPr>
      </w:pPr>
      <w:r>
        <w:rPr>
          <w:rFonts w:ascii="Helvetica" w:hAnsi="Helvetica"/>
          <w:noProof/>
          <w:sz w:val="20"/>
          <w:szCs w:val="20"/>
          <w:lang w:eastAsia="fr-FR"/>
        </w:rPr>
        <w:drawing>
          <wp:inline distT="0" distB="0" distL="0" distR="0" wp14:anchorId="0C398945" wp14:editId="1FC68237">
            <wp:extent cx="5760720" cy="14903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10-27_14460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1490345"/>
                    </a:xfrm>
                    <a:prstGeom prst="rect">
                      <a:avLst/>
                    </a:prstGeom>
                  </pic:spPr>
                </pic:pic>
              </a:graphicData>
            </a:graphic>
          </wp:inline>
        </w:drawing>
      </w:r>
    </w:p>
    <w:p w14:paraId="397594EA" w14:textId="77777777" w:rsidR="00963CEF" w:rsidRDefault="00963CEF" w:rsidP="00963CEF">
      <w:pPr>
        <w:jc w:val="both"/>
        <w:rPr>
          <w:rFonts w:ascii="Helvetica" w:hAnsi="Helvetica"/>
          <w:sz w:val="20"/>
          <w:szCs w:val="20"/>
        </w:rPr>
      </w:pPr>
    </w:p>
    <w:p w14:paraId="6EDEAFBE" w14:textId="77777777" w:rsidR="00963CEF" w:rsidRPr="001B017C" w:rsidRDefault="00963CEF" w:rsidP="00963CEF">
      <w:pPr>
        <w:jc w:val="both"/>
        <w:rPr>
          <w:rFonts w:ascii="Helvetica" w:hAnsi="Helvetica"/>
          <w:sz w:val="20"/>
          <w:szCs w:val="20"/>
        </w:rPr>
      </w:pPr>
    </w:p>
    <w:p w14:paraId="70090AF3" w14:textId="2E426263" w:rsidR="00963CEF" w:rsidRDefault="00963CEF" w:rsidP="00963CEF">
      <w:pPr>
        <w:jc w:val="both"/>
        <w:rPr>
          <w:sz w:val="32"/>
          <w:szCs w:val="32"/>
        </w:rPr>
      </w:pPr>
      <w:r>
        <w:rPr>
          <w:sz w:val="32"/>
          <w:szCs w:val="32"/>
        </w:rPr>
        <w:t>Gestion des mails</w:t>
      </w:r>
    </w:p>
    <w:p w14:paraId="49DA050D" w14:textId="32A5F139" w:rsidR="00963CEF" w:rsidRDefault="004B0965" w:rsidP="00380E55">
      <w:pPr>
        <w:jc w:val="both"/>
        <w:rPr>
          <w:rFonts w:ascii="Helvetica" w:hAnsi="Helvetica"/>
          <w:sz w:val="20"/>
          <w:szCs w:val="20"/>
        </w:rPr>
      </w:pPr>
      <w:r>
        <w:rPr>
          <w:rFonts w:ascii="Helvetica" w:hAnsi="Helvetica"/>
          <w:sz w:val="20"/>
          <w:szCs w:val="20"/>
        </w:rPr>
        <w:t>L’activation d’un nouveau paramètre (</w:t>
      </w:r>
      <w:proofErr w:type="spellStart"/>
      <w:r w:rsidRPr="004B0965">
        <w:rPr>
          <w:rFonts w:ascii="Helvetica" w:hAnsi="Helvetica"/>
          <w:sz w:val="20"/>
          <w:szCs w:val="20"/>
        </w:rPr>
        <w:t>include_recipient_name_in_email_address</w:t>
      </w:r>
      <w:proofErr w:type="spellEnd"/>
      <w:r>
        <w:rPr>
          <w:rFonts w:ascii="Helvetica" w:hAnsi="Helvetica"/>
          <w:sz w:val="20"/>
          <w:szCs w:val="20"/>
        </w:rPr>
        <w:t xml:space="preserve">) permet d’afficher les prénom et nom du destinataire en complément de son adresse email. </w:t>
      </w:r>
    </w:p>
    <w:p w14:paraId="2323F452" w14:textId="6EADE6C0" w:rsidR="004B0965" w:rsidRDefault="004B0965" w:rsidP="00963CEF">
      <w:pPr>
        <w:rPr>
          <w:rFonts w:ascii="Helvetica" w:hAnsi="Helvetica"/>
          <w:i/>
          <w:sz w:val="20"/>
          <w:szCs w:val="20"/>
        </w:rPr>
      </w:pPr>
      <w:r>
        <w:rPr>
          <w:rFonts w:ascii="Helvetica" w:hAnsi="Helvetica"/>
          <w:i/>
          <w:sz w:val="20"/>
          <w:szCs w:val="20"/>
        </w:rPr>
        <w:t>Avant</w:t>
      </w:r>
    </w:p>
    <w:p w14:paraId="207A433F" w14:textId="0D71B71A" w:rsidR="004B0965" w:rsidRDefault="003A492E" w:rsidP="00963CEF">
      <w:pPr>
        <w:rPr>
          <w:rFonts w:ascii="Helvetica" w:hAnsi="Helvetica"/>
          <w:i/>
          <w:sz w:val="20"/>
          <w:szCs w:val="20"/>
        </w:rPr>
      </w:pPr>
      <w:r>
        <w:rPr>
          <w:rFonts w:ascii="Helvetica" w:hAnsi="Helvetica"/>
          <w:i/>
          <w:noProof/>
          <w:sz w:val="20"/>
          <w:szCs w:val="20"/>
          <w:lang w:eastAsia="fr-FR"/>
        </w:rPr>
        <w:lastRenderedPageBreak/>
        <w:drawing>
          <wp:inline distT="0" distB="0" distL="0" distR="0" wp14:anchorId="5E8A1199" wp14:editId="3AC885FF">
            <wp:extent cx="5200000" cy="1085714"/>
            <wp:effectExtent l="0" t="0" r="127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ng"/>
                    <pic:cNvPicPr/>
                  </pic:nvPicPr>
                  <pic:blipFill>
                    <a:blip r:embed="rId10">
                      <a:extLst>
                        <a:ext uri="{28A0092B-C50C-407E-A947-70E740481C1C}">
                          <a14:useLocalDpi xmlns:a14="http://schemas.microsoft.com/office/drawing/2010/main" val="0"/>
                        </a:ext>
                      </a:extLst>
                    </a:blip>
                    <a:stretch>
                      <a:fillRect/>
                    </a:stretch>
                  </pic:blipFill>
                  <pic:spPr>
                    <a:xfrm>
                      <a:off x="0" y="0"/>
                      <a:ext cx="5200000" cy="1085714"/>
                    </a:xfrm>
                    <a:prstGeom prst="rect">
                      <a:avLst/>
                    </a:prstGeom>
                  </pic:spPr>
                </pic:pic>
              </a:graphicData>
            </a:graphic>
          </wp:inline>
        </w:drawing>
      </w:r>
    </w:p>
    <w:p w14:paraId="6B8F7FAE" w14:textId="3C5B9C57" w:rsidR="004B0965" w:rsidRDefault="004B0965" w:rsidP="00963CEF">
      <w:pPr>
        <w:rPr>
          <w:rFonts w:ascii="Helvetica" w:hAnsi="Helvetica"/>
          <w:i/>
          <w:sz w:val="20"/>
          <w:szCs w:val="20"/>
        </w:rPr>
      </w:pPr>
      <w:r>
        <w:rPr>
          <w:rFonts w:ascii="Helvetica" w:hAnsi="Helvetica"/>
          <w:i/>
          <w:sz w:val="20"/>
          <w:szCs w:val="20"/>
        </w:rPr>
        <w:t>Après</w:t>
      </w:r>
    </w:p>
    <w:p w14:paraId="218983FC" w14:textId="04FE7C55" w:rsidR="004B0965" w:rsidRPr="004B0965" w:rsidRDefault="003A492E" w:rsidP="00963CEF">
      <w:pPr>
        <w:rPr>
          <w:rFonts w:ascii="Helvetica" w:hAnsi="Helvetica"/>
          <w:i/>
          <w:sz w:val="20"/>
          <w:szCs w:val="20"/>
        </w:rPr>
      </w:pPr>
      <w:bookmarkStart w:id="2" w:name="_GoBack"/>
      <w:r>
        <w:rPr>
          <w:rFonts w:ascii="Helvetica" w:hAnsi="Helvetica"/>
          <w:i/>
          <w:noProof/>
          <w:sz w:val="20"/>
          <w:szCs w:val="20"/>
          <w:lang w:eastAsia="fr-FR"/>
        </w:rPr>
        <w:drawing>
          <wp:inline distT="0" distB="0" distL="0" distR="0" wp14:anchorId="31F48D84" wp14:editId="6A940093">
            <wp:extent cx="5298041" cy="1267337"/>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png"/>
                    <pic:cNvPicPr/>
                  </pic:nvPicPr>
                  <pic:blipFill>
                    <a:blip r:embed="rId11">
                      <a:extLst>
                        <a:ext uri="{28A0092B-C50C-407E-A947-70E740481C1C}">
                          <a14:useLocalDpi xmlns:a14="http://schemas.microsoft.com/office/drawing/2010/main" val="0"/>
                        </a:ext>
                      </a:extLst>
                    </a:blip>
                    <a:stretch>
                      <a:fillRect/>
                    </a:stretch>
                  </pic:blipFill>
                  <pic:spPr>
                    <a:xfrm>
                      <a:off x="0" y="0"/>
                      <a:ext cx="5298041" cy="1267337"/>
                    </a:xfrm>
                    <a:prstGeom prst="rect">
                      <a:avLst/>
                    </a:prstGeom>
                  </pic:spPr>
                </pic:pic>
              </a:graphicData>
            </a:graphic>
          </wp:inline>
        </w:drawing>
      </w:r>
      <w:bookmarkEnd w:id="2"/>
    </w:p>
    <w:p w14:paraId="1B973ECC" w14:textId="1FA5DC0F" w:rsidR="00963CEF" w:rsidRDefault="004B0965" w:rsidP="00380E55">
      <w:pPr>
        <w:jc w:val="both"/>
        <w:rPr>
          <w:rFonts w:ascii="Helvetica" w:hAnsi="Helvetica"/>
          <w:sz w:val="20"/>
          <w:szCs w:val="20"/>
        </w:rPr>
      </w:pPr>
      <w:r>
        <w:rPr>
          <w:rFonts w:ascii="Helvetica" w:hAnsi="Helvetica"/>
          <w:sz w:val="20"/>
          <w:szCs w:val="20"/>
        </w:rPr>
        <w:t xml:space="preserve">D’après Ex </w:t>
      </w:r>
      <w:proofErr w:type="spellStart"/>
      <w:r>
        <w:rPr>
          <w:rFonts w:ascii="Helvetica" w:hAnsi="Helvetica"/>
          <w:sz w:val="20"/>
          <w:szCs w:val="20"/>
        </w:rPr>
        <w:t>Libris</w:t>
      </w:r>
      <w:proofErr w:type="spellEnd"/>
      <w:r>
        <w:rPr>
          <w:rFonts w:ascii="Helvetica" w:hAnsi="Helvetica"/>
          <w:sz w:val="20"/>
          <w:szCs w:val="20"/>
        </w:rPr>
        <w:t xml:space="preserve">, ce serait de nature à réduire les risques de voir les courriers envoyés par Alma être classés comme </w:t>
      </w:r>
      <w:r w:rsidRPr="004B0965">
        <w:rPr>
          <w:rFonts w:ascii="Helvetica" w:hAnsi="Helvetica"/>
          <w:i/>
          <w:sz w:val="20"/>
          <w:szCs w:val="20"/>
        </w:rPr>
        <w:t>spams</w:t>
      </w:r>
      <w:r>
        <w:rPr>
          <w:rFonts w:ascii="Helvetica" w:hAnsi="Helvetica"/>
          <w:sz w:val="20"/>
          <w:szCs w:val="20"/>
        </w:rPr>
        <w:t>.</w:t>
      </w:r>
    </w:p>
    <w:p w14:paraId="38F7DF3A" w14:textId="56C821D3" w:rsidR="004B0965" w:rsidRDefault="004B0965" w:rsidP="00380E55">
      <w:pPr>
        <w:jc w:val="both"/>
        <w:rPr>
          <w:rFonts w:ascii="Helvetica" w:hAnsi="Helvetica"/>
          <w:sz w:val="20"/>
          <w:szCs w:val="20"/>
        </w:rPr>
      </w:pPr>
      <w:r>
        <w:rPr>
          <w:rFonts w:ascii="Helvetica" w:hAnsi="Helvetica"/>
          <w:sz w:val="20"/>
          <w:szCs w:val="20"/>
        </w:rPr>
        <w:t xml:space="preserve">A noter que ce paramètre, bien qu’opérationnel, n’est pas cité dans la version PDF de la note de version de ce trimestre. Il ne l’est que dans la version html de cette note. </w:t>
      </w:r>
    </w:p>
    <w:p w14:paraId="7120D81B" w14:textId="77777777" w:rsidR="004B0965" w:rsidRDefault="004B0965" w:rsidP="004B0965">
      <w:pPr>
        <w:jc w:val="both"/>
        <w:rPr>
          <w:rFonts w:ascii="Helvetica" w:hAnsi="Helvetica"/>
          <w:sz w:val="20"/>
          <w:szCs w:val="20"/>
        </w:rPr>
      </w:pPr>
    </w:p>
    <w:p w14:paraId="140F7328" w14:textId="77777777" w:rsidR="004B0965" w:rsidRPr="001B017C" w:rsidRDefault="004B0965" w:rsidP="004B0965">
      <w:pPr>
        <w:jc w:val="both"/>
        <w:rPr>
          <w:rFonts w:ascii="Helvetica" w:hAnsi="Helvetica"/>
          <w:sz w:val="20"/>
          <w:szCs w:val="20"/>
        </w:rPr>
      </w:pPr>
    </w:p>
    <w:p w14:paraId="2FC17603" w14:textId="096A3FC5" w:rsidR="004B0965" w:rsidRDefault="004B0965" w:rsidP="004B0965">
      <w:pPr>
        <w:jc w:val="both"/>
        <w:rPr>
          <w:sz w:val="32"/>
          <w:szCs w:val="32"/>
        </w:rPr>
      </w:pPr>
      <w:r>
        <w:rPr>
          <w:sz w:val="32"/>
          <w:szCs w:val="32"/>
        </w:rPr>
        <w:t>Raccourcis et commandes vocales</w:t>
      </w:r>
    </w:p>
    <w:p w14:paraId="56C6860D" w14:textId="5913C282" w:rsidR="004B0965" w:rsidRDefault="004B0965" w:rsidP="004B0965">
      <w:pPr>
        <w:jc w:val="both"/>
        <w:rPr>
          <w:rFonts w:ascii="Helvetica" w:hAnsi="Helvetica"/>
          <w:sz w:val="20"/>
          <w:szCs w:val="20"/>
        </w:rPr>
      </w:pPr>
      <w:r>
        <w:rPr>
          <w:rFonts w:ascii="Helvetica" w:hAnsi="Helvetica"/>
          <w:sz w:val="20"/>
          <w:szCs w:val="20"/>
        </w:rPr>
        <w:t xml:space="preserve">Ex </w:t>
      </w:r>
      <w:proofErr w:type="spellStart"/>
      <w:r>
        <w:rPr>
          <w:rFonts w:ascii="Helvetica" w:hAnsi="Helvetica"/>
          <w:sz w:val="20"/>
          <w:szCs w:val="20"/>
        </w:rPr>
        <w:t>Libris</w:t>
      </w:r>
      <w:proofErr w:type="spellEnd"/>
      <w:r>
        <w:rPr>
          <w:rFonts w:ascii="Helvetica" w:hAnsi="Helvetica"/>
          <w:sz w:val="20"/>
          <w:szCs w:val="20"/>
        </w:rPr>
        <w:t xml:space="preserve"> annonce qu’il est désormais possible de sélectionner menus et fonctions</w:t>
      </w:r>
      <w:r w:rsidR="00645A3A">
        <w:rPr>
          <w:rFonts w:ascii="Helvetica" w:hAnsi="Helvetica"/>
          <w:sz w:val="20"/>
          <w:szCs w:val="20"/>
        </w:rPr>
        <w:t xml:space="preserve"> (uniquement parmi les menus proposés en haut à droite ?)</w:t>
      </w:r>
      <w:r>
        <w:rPr>
          <w:rFonts w:ascii="Helvetica" w:hAnsi="Helvetica"/>
          <w:sz w:val="20"/>
          <w:szCs w:val="20"/>
        </w:rPr>
        <w:t xml:space="preserve"> à l’aide de raccourcis ou par commande vocale. </w:t>
      </w:r>
    </w:p>
    <w:p w14:paraId="668F0487" w14:textId="546356A2" w:rsidR="00645A3A" w:rsidRDefault="00645A3A" w:rsidP="004B0965">
      <w:pPr>
        <w:jc w:val="both"/>
        <w:rPr>
          <w:rFonts w:ascii="Helvetica" w:hAnsi="Helvetica"/>
          <w:sz w:val="20"/>
          <w:szCs w:val="20"/>
        </w:rPr>
      </w:pPr>
      <w:r>
        <w:rPr>
          <w:rFonts w:ascii="Helvetica" w:hAnsi="Helvetica"/>
          <w:sz w:val="20"/>
          <w:szCs w:val="20"/>
        </w:rPr>
        <w:t xml:space="preserve">Cette nouveauté n’est documentée que dans la version PDF de la note de version de ce trimestre et le lien fourni ne renvoie à aucune autre explication. Il a donc été impossible de la tester.  </w:t>
      </w:r>
    </w:p>
    <w:p w14:paraId="075DDF2F" w14:textId="77777777" w:rsidR="00963CEF" w:rsidRDefault="00963CEF" w:rsidP="006F00A5">
      <w:pPr>
        <w:rPr>
          <w:rFonts w:eastAsiaTheme="majorEastAsia" w:cstheme="majorBidi"/>
          <w:sz w:val="40"/>
          <w:szCs w:val="32"/>
        </w:rPr>
      </w:pPr>
    </w:p>
    <w:p w14:paraId="0C474F05" w14:textId="77777777" w:rsidR="00645A3A" w:rsidRDefault="00645A3A">
      <w:pPr>
        <w:rPr>
          <w:rFonts w:eastAsiaTheme="majorEastAsia" w:cstheme="majorBidi"/>
          <w:sz w:val="40"/>
          <w:szCs w:val="32"/>
        </w:rPr>
      </w:pPr>
      <w:r>
        <w:rPr>
          <w:rFonts w:eastAsiaTheme="majorEastAsia" w:cstheme="majorBidi"/>
          <w:sz w:val="40"/>
          <w:szCs w:val="32"/>
        </w:rPr>
        <w:br w:type="page"/>
      </w:r>
    </w:p>
    <w:p w14:paraId="4EAF16C2" w14:textId="7B7F91E9" w:rsidR="00335C64" w:rsidRPr="00E85728" w:rsidRDefault="00335C64" w:rsidP="00335C64">
      <w:pPr>
        <w:keepNext/>
        <w:keepLines/>
        <w:jc w:val="both"/>
        <w:outlineLvl w:val="0"/>
        <w:rPr>
          <w:rFonts w:eastAsiaTheme="majorEastAsia" w:cstheme="majorBidi"/>
          <w:sz w:val="40"/>
          <w:szCs w:val="32"/>
        </w:rPr>
      </w:pPr>
      <w:r>
        <w:rPr>
          <w:rFonts w:eastAsiaTheme="majorEastAsia" w:cstheme="majorBidi"/>
          <w:sz w:val="40"/>
          <w:szCs w:val="32"/>
        </w:rPr>
        <w:lastRenderedPageBreak/>
        <w:t>Gestion des données</w:t>
      </w:r>
    </w:p>
    <w:p w14:paraId="2E08F628" w14:textId="42F78064" w:rsidR="00335C64" w:rsidRDefault="00380E55" w:rsidP="00335C64">
      <w:pPr>
        <w:jc w:val="both"/>
        <w:rPr>
          <w:sz w:val="32"/>
          <w:szCs w:val="32"/>
        </w:rPr>
      </w:pPr>
      <w:r>
        <w:rPr>
          <w:sz w:val="32"/>
          <w:szCs w:val="32"/>
        </w:rPr>
        <w:t>Créneaux supplémentaires pour la planification du traitement d’importation</w:t>
      </w:r>
    </w:p>
    <w:p w14:paraId="06B6AE33" w14:textId="5AD5D90D" w:rsidR="00335C64" w:rsidRPr="005C39E7" w:rsidRDefault="00380E55" w:rsidP="00335C64">
      <w:pPr>
        <w:jc w:val="both"/>
        <w:rPr>
          <w:rFonts w:ascii="Helvetica" w:hAnsi="Helvetica"/>
          <w:sz w:val="20"/>
          <w:szCs w:val="20"/>
        </w:rPr>
      </w:pPr>
      <w:r>
        <w:rPr>
          <w:rFonts w:ascii="Helvetica" w:hAnsi="Helvetica"/>
          <w:sz w:val="20"/>
          <w:szCs w:val="20"/>
        </w:rPr>
        <w:t xml:space="preserve">De nouveaux créneaux sont proposés au niveau du planificateur du traitement d’importation. </w:t>
      </w:r>
    </w:p>
    <w:p w14:paraId="2A3C10CE" w14:textId="77777777" w:rsidR="00335C64" w:rsidRDefault="00335C64">
      <w:pPr>
        <w:rPr>
          <w:rFonts w:eastAsiaTheme="majorEastAsia" w:cstheme="majorBidi"/>
          <w:sz w:val="40"/>
          <w:szCs w:val="32"/>
        </w:rPr>
      </w:pPr>
      <w:r>
        <w:rPr>
          <w:rFonts w:eastAsiaTheme="majorEastAsia" w:cstheme="majorBidi"/>
          <w:sz w:val="40"/>
          <w:szCs w:val="32"/>
        </w:rPr>
        <w:br w:type="page"/>
      </w:r>
    </w:p>
    <w:p w14:paraId="795B6D75" w14:textId="5BECE5E3" w:rsidR="004D0D7E" w:rsidRPr="00E85728" w:rsidRDefault="004D0D7E" w:rsidP="004D0D7E">
      <w:pPr>
        <w:keepNext/>
        <w:keepLines/>
        <w:jc w:val="both"/>
        <w:outlineLvl w:val="0"/>
        <w:rPr>
          <w:rFonts w:eastAsiaTheme="majorEastAsia" w:cstheme="majorBidi"/>
          <w:sz w:val="40"/>
          <w:szCs w:val="32"/>
        </w:rPr>
      </w:pPr>
      <w:r>
        <w:rPr>
          <w:rFonts w:eastAsiaTheme="majorEastAsia" w:cstheme="majorBidi"/>
          <w:sz w:val="40"/>
          <w:szCs w:val="32"/>
        </w:rPr>
        <w:lastRenderedPageBreak/>
        <w:t xml:space="preserve">Gestion de la doc’ </w:t>
      </w:r>
      <w:proofErr w:type="spellStart"/>
      <w:r>
        <w:rPr>
          <w:rFonts w:eastAsiaTheme="majorEastAsia" w:cstheme="majorBidi"/>
          <w:sz w:val="40"/>
          <w:szCs w:val="32"/>
        </w:rPr>
        <w:t>élec</w:t>
      </w:r>
      <w:proofErr w:type="spellEnd"/>
      <w:r>
        <w:rPr>
          <w:rFonts w:eastAsiaTheme="majorEastAsia" w:cstheme="majorBidi"/>
          <w:sz w:val="40"/>
          <w:szCs w:val="32"/>
        </w:rPr>
        <w:t>’</w:t>
      </w:r>
    </w:p>
    <w:p w14:paraId="43830DB3" w14:textId="06F2AC8C" w:rsidR="004D0D7E" w:rsidRDefault="005F7576" w:rsidP="004D0D7E">
      <w:pPr>
        <w:jc w:val="both"/>
        <w:rPr>
          <w:sz w:val="32"/>
          <w:szCs w:val="32"/>
        </w:rPr>
      </w:pPr>
      <w:r>
        <w:rPr>
          <w:sz w:val="32"/>
          <w:szCs w:val="32"/>
        </w:rPr>
        <w:t>Contrôle aux fins de non-</w:t>
      </w:r>
      <w:proofErr w:type="spellStart"/>
      <w:r>
        <w:rPr>
          <w:sz w:val="32"/>
          <w:szCs w:val="32"/>
        </w:rPr>
        <w:t>proxyfication</w:t>
      </w:r>
      <w:proofErr w:type="spellEnd"/>
      <w:r>
        <w:rPr>
          <w:sz w:val="32"/>
          <w:szCs w:val="32"/>
        </w:rPr>
        <w:t xml:space="preserve"> des liens CDI en </w:t>
      </w:r>
      <w:r w:rsidRPr="005F7576">
        <w:rPr>
          <w:i/>
          <w:sz w:val="32"/>
          <w:szCs w:val="32"/>
        </w:rPr>
        <w:t xml:space="preserve">open </w:t>
      </w:r>
      <w:proofErr w:type="spellStart"/>
      <w:r w:rsidRPr="005F7576">
        <w:rPr>
          <w:i/>
          <w:sz w:val="32"/>
          <w:szCs w:val="32"/>
        </w:rPr>
        <w:t>access</w:t>
      </w:r>
      <w:proofErr w:type="spellEnd"/>
    </w:p>
    <w:p w14:paraId="488066C7" w14:textId="64AD7C17" w:rsidR="005F7576" w:rsidRDefault="005F7576" w:rsidP="004D0D7E">
      <w:pPr>
        <w:jc w:val="both"/>
        <w:rPr>
          <w:rFonts w:ascii="Helvetica" w:hAnsi="Helvetica"/>
          <w:sz w:val="20"/>
          <w:szCs w:val="20"/>
        </w:rPr>
      </w:pPr>
      <w:r>
        <w:rPr>
          <w:rFonts w:ascii="Helvetica" w:hAnsi="Helvetica"/>
          <w:sz w:val="20"/>
          <w:szCs w:val="20"/>
        </w:rPr>
        <w:t xml:space="preserve">Alma effectue désormais un contrôle sur les liens embarqués dans les notices CDI pour vérifier s’ils pointent ou non vers des ressources en </w:t>
      </w:r>
      <w:r w:rsidRPr="005F7576">
        <w:rPr>
          <w:rFonts w:ascii="Helvetica" w:hAnsi="Helvetica"/>
          <w:i/>
          <w:sz w:val="20"/>
          <w:szCs w:val="20"/>
        </w:rPr>
        <w:t xml:space="preserve">open </w:t>
      </w:r>
      <w:proofErr w:type="spellStart"/>
      <w:r w:rsidRPr="005F7576">
        <w:rPr>
          <w:rFonts w:ascii="Helvetica" w:hAnsi="Helvetica"/>
          <w:i/>
          <w:sz w:val="20"/>
          <w:szCs w:val="20"/>
        </w:rPr>
        <w:t>access</w:t>
      </w:r>
      <w:proofErr w:type="spellEnd"/>
      <w:r>
        <w:rPr>
          <w:rFonts w:ascii="Helvetica" w:hAnsi="Helvetica"/>
          <w:sz w:val="20"/>
          <w:szCs w:val="20"/>
        </w:rPr>
        <w:t xml:space="preserve">. Si le lien vers la ressource est identifié comme « free to </w:t>
      </w:r>
      <w:proofErr w:type="spellStart"/>
      <w:r>
        <w:rPr>
          <w:rFonts w:ascii="Helvetica" w:hAnsi="Helvetica"/>
          <w:sz w:val="20"/>
          <w:szCs w:val="20"/>
        </w:rPr>
        <w:t>read</w:t>
      </w:r>
      <w:proofErr w:type="spellEnd"/>
      <w:r>
        <w:rPr>
          <w:rFonts w:ascii="Helvetica" w:hAnsi="Helvetica"/>
          <w:sz w:val="20"/>
          <w:szCs w:val="20"/>
        </w:rPr>
        <w:t xml:space="preserve"> », le lien n’est pas </w:t>
      </w:r>
      <w:proofErr w:type="spellStart"/>
      <w:r>
        <w:rPr>
          <w:rFonts w:ascii="Helvetica" w:hAnsi="Helvetica"/>
          <w:sz w:val="20"/>
          <w:szCs w:val="20"/>
        </w:rPr>
        <w:t>proxyfié</w:t>
      </w:r>
      <w:proofErr w:type="spellEnd"/>
      <w:r>
        <w:rPr>
          <w:rFonts w:ascii="Helvetica" w:hAnsi="Helvetica"/>
          <w:sz w:val="20"/>
          <w:szCs w:val="20"/>
        </w:rPr>
        <w:t xml:space="preserve">. </w:t>
      </w:r>
    </w:p>
    <w:p w14:paraId="3DE849F5" w14:textId="6A3F5DDF" w:rsidR="00F90908" w:rsidRPr="005C39E7" w:rsidRDefault="005F7576" w:rsidP="005C39E7">
      <w:pPr>
        <w:jc w:val="both"/>
        <w:rPr>
          <w:rFonts w:ascii="Helvetica" w:hAnsi="Helvetica"/>
          <w:sz w:val="20"/>
          <w:szCs w:val="20"/>
        </w:rPr>
      </w:pPr>
      <w:r>
        <w:rPr>
          <w:rFonts w:ascii="Helvetica" w:hAnsi="Helvetica"/>
          <w:sz w:val="20"/>
          <w:szCs w:val="20"/>
        </w:rPr>
        <w:t xml:space="preserve">Ce fonctionnement est distinct de celui qui existait déjà, qui prévenait la </w:t>
      </w:r>
      <w:proofErr w:type="spellStart"/>
      <w:r>
        <w:rPr>
          <w:rFonts w:ascii="Helvetica" w:hAnsi="Helvetica"/>
          <w:sz w:val="20"/>
          <w:szCs w:val="20"/>
        </w:rPr>
        <w:t>proxyfication</w:t>
      </w:r>
      <w:proofErr w:type="spellEnd"/>
      <w:r>
        <w:rPr>
          <w:rFonts w:ascii="Helvetica" w:hAnsi="Helvetica"/>
          <w:sz w:val="20"/>
          <w:szCs w:val="20"/>
        </w:rPr>
        <w:t xml:space="preserve"> des liens lorsque la notice de la ressource était elle-même identifiée comme étant en </w:t>
      </w:r>
      <w:r w:rsidRPr="005F7576">
        <w:rPr>
          <w:rFonts w:ascii="Helvetica" w:hAnsi="Helvetica"/>
          <w:i/>
          <w:sz w:val="20"/>
          <w:szCs w:val="20"/>
        </w:rPr>
        <w:t xml:space="preserve">open </w:t>
      </w:r>
      <w:proofErr w:type="spellStart"/>
      <w:r w:rsidRPr="005F7576">
        <w:rPr>
          <w:rFonts w:ascii="Helvetica" w:hAnsi="Helvetica"/>
          <w:i/>
          <w:sz w:val="20"/>
          <w:szCs w:val="20"/>
        </w:rPr>
        <w:t>access</w:t>
      </w:r>
      <w:proofErr w:type="spellEnd"/>
      <w:r>
        <w:rPr>
          <w:rFonts w:ascii="Helvetica" w:hAnsi="Helvetica"/>
          <w:sz w:val="20"/>
          <w:szCs w:val="20"/>
        </w:rPr>
        <w:t xml:space="preserve">. </w:t>
      </w:r>
      <w:r w:rsidR="00F90908">
        <w:rPr>
          <w:rFonts w:ascii="Helvetica" w:hAnsi="Helvetica" w:cs="Helvetica"/>
          <w:sz w:val="20"/>
          <w:szCs w:val="20"/>
        </w:rPr>
        <w:t xml:space="preserve"> </w:t>
      </w:r>
    </w:p>
    <w:p w14:paraId="31FAFB85" w14:textId="77777777" w:rsidR="00F90908" w:rsidRDefault="00F90908" w:rsidP="00F90908">
      <w:pPr>
        <w:jc w:val="both"/>
        <w:rPr>
          <w:rFonts w:ascii="Helvetica" w:hAnsi="Helvetica"/>
          <w:sz w:val="20"/>
          <w:szCs w:val="20"/>
        </w:rPr>
      </w:pPr>
    </w:p>
    <w:p w14:paraId="048FDDD5" w14:textId="77777777" w:rsidR="00F90908" w:rsidRPr="001B017C" w:rsidRDefault="00F90908" w:rsidP="00F90908">
      <w:pPr>
        <w:jc w:val="both"/>
        <w:rPr>
          <w:rFonts w:ascii="Helvetica" w:hAnsi="Helvetica"/>
          <w:sz w:val="20"/>
          <w:szCs w:val="20"/>
        </w:rPr>
      </w:pPr>
    </w:p>
    <w:p w14:paraId="1E3DF6EB" w14:textId="1CFE8165" w:rsidR="00F90908" w:rsidRDefault="005C39E7" w:rsidP="00F90908">
      <w:pPr>
        <w:jc w:val="both"/>
        <w:rPr>
          <w:sz w:val="32"/>
          <w:szCs w:val="32"/>
        </w:rPr>
      </w:pPr>
      <w:r>
        <w:rPr>
          <w:sz w:val="32"/>
          <w:szCs w:val="32"/>
        </w:rPr>
        <w:t>Evolution du fichier d’export des portfolios</w:t>
      </w:r>
    </w:p>
    <w:p w14:paraId="1998E23D" w14:textId="5E59945D" w:rsidR="00B05EAF" w:rsidRDefault="005C39E7" w:rsidP="005C39E7">
      <w:pPr>
        <w:jc w:val="both"/>
        <w:rPr>
          <w:rFonts w:ascii="Helvetica" w:hAnsi="Helvetica"/>
          <w:sz w:val="20"/>
          <w:szCs w:val="20"/>
        </w:rPr>
      </w:pPr>
      <w:r>
        <w:rPr>
          <w:rFonts w:ascii="Helvetica" w:hAnsi="Helvetica"/>
          <w:sz w:val="20"/>
          <w:szCs w:val="20"/>
        </w:rPr>
        <w:t xml:space="preserve">Le fichier qui peut être exporté à partir de la liste des portfolios d’une collection évolue pour supporter les portfolios associés à des périodes de couverture multiples (par exemple, un portfolio qui couvre la période qui va de 1970 à 2010 et de 2015 à aujourd’hui). </w:t>
      </w:r>
    </w:p>
    <w:p w14:paraId="2D9D9053" w14:textId="670F7BEB" w:rsidR="00645A3A" w:rsidRDefault="00645A3A" w:rsidP="005C39E7">
      <w:pPr>
        <w:jc w:val="both"/>
        <w:rPr>
          <w:rFonts w:ascii="Helvetica" w:hAnsi="Helvetica"/>
          <w:sz w:val="20"/>
          <w:szCs w:val="20"/>
        </w:rPr>
      </w:pPr>
      <w:r>
        <w:rPr>
          <w:rFonts w:ascii="Helvetica" w:hAnsi="Helvetica"/>
          <w:noProof/>
          <w:sz w:val="20"/>
          <w:szCs w:val="20"/>
          <w:lang w:eastAsia="fr-FR"/>
        </w:rPr>
        <w:drawing>
          <wp:inline distT="0" distB="0" distL="0" distR="0" wp14:anchorId="5811CE38" wp14:editId="2036D12D">
            <wp:extent cx="5760720" cy="58801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10-27_14440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88010"/>
                    </a:xfrm>
                    <a:prstGeom prst="rect">
                      <a:avLst/>
                    </a:prstGeom>
                  </pic:spPr>
                </pic:pic>
              </a:graphicData>
            </a:graphic>
          </wp:inline>
        </w:drawing>
      </w:r>
    </w:p>
    <w:p w14:paraId="5F2F66FE" w14:textId="77777777" w:rsidR="00645A3A" w:rsidRDefault="00645A3A" w:rsidP="005C39E7">
      <w:pPr>
        <w:jc w:val="both"/>
        <w:rPr>
          <w:rFonts w:ascii="Helvetica" w:hAnsi="Helvetica"/>
          <w:sz w:val="20"/>
          <w:szCs w:val="20"/>
        </w:rPr>
      </w:pPr>
    </w:p>
    <w:p w14:paraId="760B5938" w14:textId="07F05029" w:rsidR="005C39E7" w:rsidRPr="00F90908" w:rsidRDefault="005C39E7" w:rsidP="005C39E7">
      <w:pPr>
        <w:jc w:val="both"/>
        <w:rPr>
          <w:rFonts w:ascii="Helvetica" w:hAnsi="Helvetica" w:cs="Helvetica"/>
          <w:sz w:val="20"/>
          <w:szCs w:val="20"/>
        </w:rPr>
      </w:pPr>
      <w:r>
        <w:rPr>
          <w:rFonts w:ascii="Helvetica" w:hAnsi="Helvetica"/>
          <w:sz w:val="20"/>
          <w:szCs w:val="20"/>
        </w:rPr>
        <w:t xml:space="preserve">Cette modification se traduit par l’affichage d’une ligne pour chaque période de couverture du même portfolio. Le fichier peut être </w:t>
      </w:r>
      <w:proofErr w:type="spellStart"/>
      <w:r>
        <w:rPr>
          <w:rFonts w:ascii="Helvetica" w:hAnsi="Helvetica"/>
          <w:sz w:val="20"/>
          <w:szCs w:val="20"/>
        </w:rPr>
        <w:t>ré-importé</w:t>
      </w:r>
      <w:proofErr w:type="spellEnd"/>
      <w:r>
        <w:rPr>
          <w:rFonts w:ascii="Helvetica" w:hAnsi="Helvetica"/>
          <w:sz w:val="20"/>
          <w:szCs w:val="20"/>
        </w:rPr>
        <w:t xml:space="preserve"> tel quel, sans manipulation supplémentaire, depuis le </w:t>
      </w:r>
      <w:r w:rsidRPr="005C39E7">
        <w:rPr>
          <w:rFonts w:ascii="Helvetica" w:hAnsi="Helvetica"/>
          <w:i/>
          <w:sz w:val="20"/>
          <w:szCs w:val="20"/>
        </w:rPr>
        <w:t>Data loader</w:t>
      </w:r>
      <w:r>
        <w:rPr>
          <w:rFonts w:ascii="Helvetica" w:hAnsi="Helvetica"/>
          <w:sz w:val="20"/>
          <w:szCs w:val="20"/>
        </w:rPr>
        <w:t xml:space="preserve">. </w:t>
      </w:r>
    </w:p>
    <w:p w14:paraId="5AFC4BF6" w14:textId="77777777" w:rsidR="00F90908" w:rsidRDefault="00F90908" w:rsidP="00F90908">
      <w:pPr>
        <w:jc w:val="both"/>
        <w:rPr>
          <w:rFonts w:ascii="Helvetica" w:hAnsi="Helvetica"/>
          <w:sz w:val="20"/>
          <w:szCs w:val="20"/>
        </w:rPr>
      </w:pPr>
    </w:p>
    <w:p w14:paraId="1BFB0BB7" w14:textId="77777777" w:rsidR="00F90908" w:rsidRPr="001B017C" w:rsidRDefault="00F90908" w:rsidP="00F90908">
      <w:pPr>
        <w:jc w:val="both"/>
        <w:rPr>
          <w:rFonts w:ascii="Helvetica" w:hAnsi="Helvetica"/>
          <w:sz w:val="20"/>
          <w:szCs w:val="20"/>
        </w:rPr>
      </w:pPr>
    </w:p>
    <w:p w14:paraId="08FD1BD0" w14:textId="74EAF13F" w:rsidR="00F90908" w:rsidRDefault="005C39E7" w:rsidP="00F90908">
      <w:pPr>
        <w:jc w:val="both"/>
        <w:rPr>
          <w:sz w:val="32"/>
          <w:szCs w:val="32"/>
        </w:rPr>
      </w:pPr>
      <w:r>
        <w:rPr>
          <w:sz w:val="32"/>
          <w:szCs w:val="32"/>
        </w:rPr>
        <w:t xml:space="preserve">Amélioration du processus de mise à jour automatique des inventaires électroniques </w:t>
      </w:r>
      <w:proofErr w:type="spellStart"/>
      <w:r>
        <w:rPr>
          <w:sz w:val="32"/>
          <w:szCs w:val="32"/>
        </w:rPr>
        <w:t>ProQuest</w:t>
      </w:r>
      <w:proofErr w:type="spellEnd"/>
      <w:r>
        <w:rPr>
          <w:sz w:val="32"/>
          <w:szCs w:val="32"/>
        </w:rPr>
        <w:t xml:space="preserve"> </w:t>
      </w:r>
      <w:proofErr w:type="spellStart"/>
      <w:r>
        <w:rPr>
          <w:sz w:val="32"/>
          <w:szCs w:val="32"/>
        </w:rPr>
        <w:t>Ebook</w:t>
      </w:r>
      <w:proofErr w:type="spellEnd"/>
      <w:r>
        <w:rPr>
          <w:sz w:val="32"/>
          <w:szCs w:val="32"/>
        </w:rPr>
        <w:t xml:space="preserve"> Central</w:t>
      </w:r>
    </w:p>
    <w:p w14:paraId="7120B41B" w14:textId="3EF4B538" w:rsidR="00F90908" w:rsidRDefault="005C39E7" w:rsidP="00380E55">
      <w:pPr>
        <w:jc w:val="both"/>
        <w:rPr>
          <w:rFonts w:ascii="Helvetica" w:hAnsi="Helvetica"/>
          <w:sz w:val="20"/>
          <w:szCs w:val="20"/>
        </w:rPr>
      </w:pPr>
      <w:r>
        <w:rPr>
          <w:rFonts w:ascii="Helvetica" w:hAnsi="Helvetica"/>
          <w:sz w:val="20"/>
          <w:szCs w:val="20"/>
        </w:rPr>
        <w:t xml:space="preserve">Ex </w:t>
      </w:r>
      <w:proofErr w:type="spellStart"/>
      <w:r>
        <w:rPr>
          <w:rFonts w:ascii="Helvetica" w:hAnsi="Helvetica"/>
          <w:sz w:val="20"/>
          <w:szCs w:val="20"/>
        </w:rPr>
        <w:t>Libris</w:t>
      </w:r>
      <w:proofErr w:type="spellEnd"/>
      <w:r>
        <w:rPr>
          <w:rFonts w:ascii="Helvetica" w:hAnsi="Helvetica"/>
          <w:sz w:val="20"/>
          <w:szCs w:val="20"/>
        </w:rPr>
        <w:t xml:space="preserve"> annonce une amélioration de ce processus (mise à jour incrémentale quotidienne plutôt que mise à jour complète hebdomadaire, périmètre étendu à un nouveau mode d’acquisition, indication dans chaque portfolio du modèle d’acquisition). Les institutions qui ont déjà mis en œuvre la fonction de mise à jour automatique pour </w:t>
      </w:r>
      <w:proofErr w:type="spellStart"/>
      <w:r>
        <w:rPr>
          <w:rFonts w:ascii="Helvetica" w:hAnsi="Helvetica"/>
          <w:sz w:val="20"/>
          <w:szCs w:val="20"/>
        </w:rPr>
        <w:t>Ebooks</w:t>
      </w:r>
      <w:proofErr w:type="spellEnd"/>
      <w:r>
        <w:rPr>
          <w:rFonts w:ascii="Helvetica" w:hAnsi="Helvetica"/>
          <w:sz w:val="20"/>
          <w:szCs w:val="20"/>
        </w:rPr>
        <w:t xml:space="preserve"> Central sont invités à se rapprocher du support s’ils souhaitent bénéficier de ce modèle. Ceux qui n’avaient pas activé cette fonction peuvent mettre en œuvre ce nouveau modèle dès maintenant. </w:t>
      </w:r>
    </w:p>
    <w:p w14:paraId="1D478142" w14:textId="77777777" w:rsidR="005C39E7" w:rsidRDefault="005C39E7" w:rsidP="005C39E7">
      <w:pPr>
        <w:jc w:val="both"/>
        <w:rPr>
          <w:rFonts w:ascii="Helvetica" w:hAnsi="Helvetica"/>
          <w:sz w:val="20"/>
          <w:szCs w:val="20"/>
        </w:rPr>
      </w:pPr>
    </w:p>
    <w:p w14:paraId="5B3674C0" w14:textId="77777777" w:rsidR="005C39E7" w:rsidRPr="001B017C" w:rsidRDefault="005C39E7" w:rsidP="005C39E7">
      <w:pPr>
        <w:jc w:val="both"/>
        <w:rPr>
          <w:rFonts w:ascii="Helvetica" w:hAnsi="Helvetica"/>
          <w:sz w:val="20"/>
          <w:szCs w:val="20"/>
        </w:rPr>
      </w:pPr>
    </w:p>
    <w:p w14:paraId="5329D74B" w14:textId="1206F5AC" w:rsidR="005C39E7" w:rsidRDefault="00214F93" w:rsidP="005C39E7">
      <w:pPr>
        <w:jc w:val="both"/>
        <w:rPr>
          <w:sz w:val="32"/>
          <w:szCs w:val="32"/>
        </w:rPr>
      </w:pPr>
      <w:r>
        <w:rPr>
          <w:sz w:val="32"/>
          <w:szCs w:val="32"/>
        </w:rPr>
        <w:t>Utilisation contextuelle de la fonction</w:t>
      </w:r>
      <w:r w:rsidR="005C39E7">
        <w:rPr>
          <w:sz w:val="32"/>
          <w:szCs w:val="32"/>
        </w:rPr>
        <w:t xml:space="preserve"> </w:t>
      </w:r>
      <w:r>
        <w:rPr>
          <w:sz w:val="32"/>
          <w:szCs w:val="32"/>
        </w:rPr>
        <w:t xml:space="preserve">« Envoyer à Ex </w:t>
      </w:r>
      <w:proofErr w:type="spellStart"/>
      <w:r>
        <w:rPr>
          <w:sz w:val="32"/>
          <w:szCs w:val="32"/>
        </w:rPr>
        <w:t>Libris</w:t>
      </w:r>
      <w:proofErr w:type="spellEnd"/>
      <w:r>
        <w:rPr>
          <w:sz w:val="32"/>
          <w:szCs w:val="32"/>
        </w:rPr>
        <w:t> » et nouveau niveau de gestion</w:t>
      </w:r>
    </w:p>
    <w:p w14:paraId="07354785" w14:textId="1A27F983" w:rsidR="005C39E7" w:rsidRDefault="00214F93" w:rsidP="00380E55">
      <w:pPr>
        <w:jc w:val="both"/>
        <w:rPr>
          <w:rFonts w:ascii="Helvetica" w:hAnsi="Helvetica"/>
          <w:sz w:val="20"/>
          <w:szCs w:val="20"/>
        </w:rPr>
      </w:pPr>
      <w:r>
        <w:rPr>
          <w:rFonts w:ascii="Helvetica" w:hAnsi="Helvetica"/>
          <w:sz w:val="20"/>
          <w:szCs w:val="20"/>
        </w:rPr>
        <w:t xml:space="preserve">L’envoi d’une collection à Ex </w:t>
      </w:r>
      <w:proofErr w:type="spellStart"/>
      <w:r>
        <w:rPr>
          <w:rFonts w:ascii="Helvetica" w:hAnsi="Helvetica"/>
          <w:sz w:val="20"/>
          <w:szCs w:val="20"/>
        </w:rPr>
        <w:t>Libris</w:t>
      </w:r>
      <w:proofErr w:type="spellEnd"/>
      <w:r>
        <w:rPr>
          <w:rFonts w:ascii="Helvetica" w:hAnsi="Helvetica"/>
          <w:sz w:val="20"/>
          <w:szCs w:val="20"/>
        </w:rPr>
        <w:t xml:space="preserve"> n’est plus possible pour les collections identifiées comme gérées par la communauté, contribuée par l’institution, « pas maintenue » et en attente de suppression. </w:t>
      </w:r>
    </w:p>
    <w:p w14:paraId="0A9BD4DC" w14:textId="06618511" w:rsidR="00214F93" w:rsidRDefault="00214F93" w:rsidP="00380E55">
      <w:pPr>
        <w:jc w:val="both"/>
        <w:rPr>
          <w:rFonts w:ascii="Helvetica" w:hAnsi="Helvetica"/>
          <w:sz w:val="20"/>
          <w:szCs w:val="20"/>
        </w:rPr>
      </w:pPr>
      <w:r>
        <w:rPr>
          <w:rFonts w:ascii="Helvetica" w:hAnsi="Helvetica"/>
          <w:sz w:val="20"/>
          <w:szCs w:val="20"/>
        </w:rPr>
        <w:lastRenderedPageBreak/>
        <w:t>Ce dernier statut (en anglais </w:t>
      </w:r>
      <w:proofErr w:type="spellStart"/>
      <w:r w:rsidRPr="00214F93">
        <w:rPr>
          <w:rFonts w:ascii="Helvetica" w:hAnsi="Helvetica"/>
          <w:i/>
          <w:sz w:val="20"/>
          <w:szCs w:val="20"/>
        </w:rPr>
        <w:t>Pending</w:t>
      </w:r>
      <w:proofErr w:type="spellEnd"/>
      <w:r w:rsidRPr="00214F93">
        <w:rPr>
          <w:rFonts w:ascii="Helvetica" w:hAnsi="Helvetica"/>
          <w:i/>
          <w:sz w:val="20"/>
          <w:szCs w:val="20"/>
        </w:rPr>
        <w:t xml:space="preserve"> </w:t>
      </w:r>
      <w:proofErr w:type="spellStart"/>
      <w:r w:rsidRPr="00214F93">
        <w:rPr>
          <w:rFonts w:ascii="Helvetica" w:hAnsi="Helvetica"/>
          <w:i/>
          <w:sz w:val="20"/>
          <w:szCs w:val="20"/>
        </w:rPr>
        <w:t>deletion</w:t>
      </w:r>
      <w:proofErr w:type="spellEnd"/>
      <w:r>
        <w:rPr>
          <w:rFonts w:ascii="Helvetica" w:hAnsi="Helvetica"/>
          <w:sz w:val="20"/>
          <w:szCs w:val="20"/>
        </w:rPr>
        <w:t xml:space="preserve">) est ajouté avec cette version d’Alma. Il s’applique aux collections appelées à être supprimées dans un délai de quatre semaines. </w:t>
      </w:r>
    </w:p>
    <w:p w14:paraId="7865AD91" w14:textId="77777777" w:rsidR="00214F93" w:rsidRDefault="00214F93" w:rsidP="00214F93">
      <w:pPr>
        <w:jc w:val="both"/>
        <w:rPr>
          <w:rFonts w:ascii="Helvetica" w:hAnsi="Helvetica"/>
          <w:sz w:val="20"/>
          <w:szCs w:val="20"/>
        </w:rPr>
      </w:pPr>
    </w:p>
    <w:p w14:paraId="6FC080B2" w14:textId="77777777" w:rsidR="00214F93" w:rsidRPr="001B017C" w:rsidRDefault="00214F93" w:rsidP="00214F93">
      <w:pPr>
        <w:jc w:val="both"/>
        <w:rPr>
          <w:rFonts w:ascii="Helvetica" w:hAnsi="Helvetica"/>
          <w:sz w:val="20"/>
          <w:szCs w:val="20"/>
        </w:rPr>
      </w:pPr>
    </w:p>
    <w:p w14:paraId="47161198" w14:textId="760A11A8" w:rsidR="00214F93" w:rsidRDefault="00214F93" w:rsidP="00214F93">
      <w:pPr>
        <w:jc w:val="both"/>
        <w:rPr>
          <w:sz w:val="32"/>
          <w:szCs w:val="32"/>
        </w:rPr>
      </w:pPr>
      <w:r>
        <w:rPr>
          <w:sz w:val="32"/>
          <w:szCs w:val="32"/>
        </w:rPr>
        <w:t>Usage des collections électroniques</w:t>
      </w:r>
    </w:p>
    <w:p w14:paraId="34ADC179" w14:textId="6AC05918" w:rsidR="00214F93" w:rsidRDefault="00214F93" w:rsidP="00380E55">
      <w:pPr>
        <w:jc w:val="both"/>
        <w:rPr>
          <w:rFonts w:ascii="Helvetica" w:hAnsi="Helvetica"/>
          <w:sz w:val="20"/>
          <w:szCs w:val="20"/>
        </w:rPr>
      </w:pPr>
      <w:r>
        <w:rPr>
          <w:rFonts w:ascii="Helvetica" w:hAnsi="Helvetica"/>
          <w:sz w:val="20"/>
          <w:szCs w:val="20"/>
        </w:rPr>
        <w:t xml:space="preserve">Deux indicateurs sont implémentés avec cette version pour savoir combien de fois une collection électronique ou un portfolio ont été activés et dans quelle zone géographique (Asie-Pacifique, Europe, Moyen-Orient et Afrique, Amérique du Nord et Amérique latine). Ces informations sont rafraîchies une fois par semaine et sont uniquement visibles depuis le périmètre de recherche CZ. </w:t>
      </w:r>
    </w:p>
    <w:p w14:paraId="77373D79" w14:textId="455BC476" w:rsidR="00214F93" w:rsidRDefault="00214F93" w:rsidP="00380E55">
      <w:pPr>
        <w:jc w:val="both"/>
        <w:rPr>
          <w:rFonts w:ascii="Helvetica" w:hAnsi="Helvetica"/>
          <w:sz w:val="20"/>
          <w:szCs w:val="20"/>
        </w:rPr>
      </w:pPr>
      <w:r>
        <w:rPr>
          <w:rFonts w:ascii="Helvetica" w:hAnsi="Helvetica"/>
          <w:sz w:val="20"/>
          <w:szCs w:val="20"/>
        </w:rPr>
        <w:t xml:space="preserve">Est considérée comme active une collection dont au moins un service est disponible et dont au moins un portfolio est disponible. Est considérée également comme active une collection qui n’a aucun service mais dont l’URL n’est pas vide et la notice affichée au catalogue. </w:t>
      </w:r>
    </w:p>
    <w:p w14:paraId="663A87F5" w14:textId="00AE46EE" w:rsidR="00214F93" w:rsidRPr="00F90908" w:rsidRDefault="00645A3A" w:rsidP="005C39E7">
      <w:pPr>
        <w:rPr>
          <w:rFonts w:ascii="Helvetica" w:hAnsi="Helvetica" w:cs="Helvetica"/>
          <w:sz w:val="20"/>
          <w:szCs w:val="20"/>
        </w:rPr>
      </w:pPr>
      <w:r>
        <w:rPr>
          <w:rFonts w:ascii="Helvetica" w:hAnsi="Helvetica" w:cs="Helvetica"/>
          <w:noProof/>
          <w:sz w:val="20"/>
          <w:szCs w:val="20"/>
          <w:lang w:eastAsia="fr-FR"/>
        </w:rPr>
        <w:drawing>
          <wp:inline distT="0" distB="0" distL="0" distR="0" wp14:anchorId="38E3B90E" wp14:editId="3F6EED1B">
            <wp:extent cx="5760720" cy="195707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ra Instantané_2022-10-27_151749_univ-toulouse-psb.alma.exlibrisgroup.com.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957070"/>
                    </a:xfrm>
                    <a:prstGeom prst="rect">
                      <a:avLst/>
                    </a:prstGeom>
                  </pic:spPr>
                </pic:pic>
              </a:graphicData>
            </a:graphic>
          </wp:inline>
        </w:drawing>
      </w:r>
    </w:p>
    <w:p w14:paraId="0CAF0557" w14:textId="77777777" w:rsidR="00645A3A" w:rsidRDefault="00645A3A" w:rsidP="00645A3A">
      <w:pPr>
        <w:jc w:val="both"/>
        <w:rPr>
          <w:rFonts w:ascii="Helvetica" w:hAnsi="Helvetica"/>
          <w:sz w:val="20"/>
          <w:szCs w:val="20"/>
        </w:rPr>
      </w:pPr>
    </w:p>
    <w:p w14:paraId="316C8564" w14:textId="77777777" w:rsidR="00645A3A" w:rsidRPr="001B017C" w:rsidRDefault="00645A3A" w:rsidP="00645A3A">
      <w:pPr>
        <w:jc w:val="both"/>
        <w:rPr>
          <w:rFonts w:ascii="Helvetica" w:hAnsi="Helvetica"/>
          <w:sz w:val="20"/>
          <w:szCs w:val="20"/>
        </w:rPr>
      </w:pPr>
    </w:p>
    <w:p w14:paraId="2B461C4E" w14:textId="061817E7" w:rsidR="00645A3A" w:rsidRDefault="0010405D" w:rsidP="00645A3A">
      <w:pPr>
        <w:jc w:val="both"/>
        <w:rPr>
          <w:sz w:val="32"/>
          <w:szCs w:val="32"/>
        </w:rPr>
      </w:pPr>
      <w:r>
        <w:rPr>
          <w:sz w:val="32"/>
          <w:szCs w:val="32"/>
        </w:rPr>
        <w:t>Définition de l’ordre de préférence pour l’affichage des liens CDI</w:t>
      </w:r>
    </w:p>
    <w:p w14:paraId="4CD8F165" w14:textId="337D3F93" w:rsidR="005C39E7" w:rsidRDefault="0010405D" w:rsidP="00380E55">
      <w:pPr>
        <w:jc w:val="both"/>
        <w:rPr>
          <w:rFonts w:ascii="Helvetica" w:hAnsi="Helvetica"/>
          <w:sz w:val="20"/>
          <w:szCs w:val="20"/>
        </w:rPr>
      </w:pPr>
      <w:r>
        <w:rPr>
          <w:rFonts w:ascii="Helvetica" w:hAnsi="Helvetica"/>
          <w:sz w:val="20"/>
          <w:szCs w:val="20"/>
        </w:rPr>
        <w:t xml:space="preserve">Jusqu’à présent, il était possible de définir un ordre de préférence pour l’affichage des liens uniquement lorsque ceux-ci étaient fournis par le résolveur de liens. Désormais, il est possible de faire de même pour les liens internes des notices CDI et plus précisément des liens de type </w:t>
      </w:r>
      <w:r w:rsidRPr="0010405D">
        <w:rPr>
          <w:rFonts w:ascii="Helvetica" w:hAnsi="Helvetica"/>
          <w:i/>
          <w:sz w:val="20"/>
          <w:szCs w:val="20"/>
        </w:rPr>
        <w:t>Link in Record</w:t>
      </w:r>
      <w:r w:rsidRPr="0010405D">
        <w:rPr>
          <w:rFonts w:ascii="Helvetica" w:hAnsi="Helvetica"/>
          <w:sz w:val="20"/>
          <w:szCs w:val="20"/>
        </w:rPr>
        <w:t xml:space="preserve"> </w:t>
      </w:r>
      <w:r>
        <w:rPr>
          <w:rFonts w:ascii="Helvetica" w:hAnsi="Helvetica"/>
          <w:sz w:val="20"/>
          <w:szCs w:val="20"/>
        </w:rPr>
        <w:t>et</w:t>
      </w:r>
      <w:r w:rsidRPr="0010405D">
        <w:rPr>
          <w:rFonts w:ascii="Helvetica" w:hAnsi="Helvetica"/>
          <w:sz w:val="20"/>
          <w:szCs w:val="20"/>
        </w:rPr>
        <w:t xml:space="preserve"> </w:t>
      </w:r>
      <w:proofErr w:type="spellStart"/>
      <w:r w:rsidRPr="0010405D">
        <w:rPr>
          <w:rFonts w:ascii="Helvetica" w:hAnsi="Helvetica"/>
          <w:i/>
          <w:sz w:val="20"/>
          <w:szCs w:val="20"/>
        </w:rPr>
        <w:t>Quicklinks</w:t>
      </w:r>
      <w:proofErr w:type="spellEnd"/>
      <w:r>
        <w:rPr>
          <w:rFonts w:ascii="Helvetica" w:hAnsi="Helvetica"/>
          <w:sz w:val="20"/>
          <w:szCs w:val="20"/>
        </w:rPr>
        <w:t xml:space="preserve"> lorsque plusieurs liens peuvent être proposés. </w:t>
      </w:r>
    </w:p>
    <w:p w14:paraId="66FCB794" w14:textId="2A5F39EB" w:rsidR="0010405D" w:rsidRDefault="0010405D" w:rsidP="00380E55">
      <w:pPr>
        <w:jc w:val="both"/>
        <w:rPr>
          <w:rFonts w:ascii="Helvetica" w:hAnsi="Helvetica"/>
          <w:sz w:val="20"/>
          <w:szCs w:val="20"/>
        </w:rPr>
      </w:pPr>
      <w:r>
        <w:rPr>
          <w:rFonts w:ascii="Helvetica" w:hAnsi="Helvetica"/>
          <w:sz w:val="20"/>
          <w:szCs w:val="20"/>
        </w:rPr>
        <w:t xml:space="preserve">Cette définition se fait depuis une nouvelle table dans l’administration Alma : Central Index dans la section </w:t>
      </w:r>
      <w:r w:rsidRPr="0010405D">
        <w:rPr>
          <w:rFonts w:ascii="Helvetica" w:hAnsi="Helvetica"/>
          <w:sz w:val="20"/>
          <w:szCs w:val="20"/>
        </w:rPr>
        <w:t>Logique d'affichage de l'interface de découverte</w:t>
      </w:r>
      <w:r>
        <w:rPr>
          <w:rFonts w:ascii="Helvetica" w:hAnsi="Helvetica"/>
          <w:sz w:val="20"/>
          <w:szCs w:val="20"/>
        </w:rPr>
        <w:t xml:space="preserve"> du menu des Services aux usagers. Ces préférences sont définies par fournisseur (et non par collection). Si la gestion des ressources électroniques est configurée séparément par bibliothèque ou campus, il convient de créer autant de profil qu’il y a d’entité afin de personnaliser ces préférences. Chacun, cependant, doit être associé à un compte CDI moyennant le renseignement de ses clé et identifiant client, qui peuvent être récupérés depuis Primo. </w:t>
      </w:r>
    </w:p>
    <w:p w14:paraId="63C58DD7" w14:textId="48F75FC5" w:rsidR="0010405D" w:rsidRDefault="0010405D" w:rsidP="00645A3A">
      <w:pPr>
        <w:rPr>
          <w:rFonts w:ascii="Helvetica" w:hAnsi="Helvetica"/>
          <w:sz w:val="20"/>
          <w:szCs w:val="20"/>
        </w:rPr>
      </w:pPr>
      <w:r>
        <w:rPr>
          <w:rFonts w:ascii="Helvetica" w:hAnsi="Helvetica"/>
          <w:noProof/>
          <w:sz w:val="20"/>
          <w:szCs w:val="20"/>
          <w:lang w:eastAsia="fr-FR"/>
        </w:rPr>
        <w:drawing>
          <wp:inline distT="0" distB="0" distL="0" distR="0" wp14:anchorId="5521DAD6" wp14:editId="1575F9F6">
            <wp:extent cx="5760720" cy="8674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 Instantané_2022-10-27_153018_univ-toulouse-psb.alma.exlibrisgroup.c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67410"/>
                    </a:xfrm>
                    <a:prstGeom prst="rect">
                      <a:avLst/>
                    </a:prstGeom>
                  </pic:spPr>
                </pic:pic>
              </a:graphicData>
            </a:graphic>
          </wp:inline>
        </w:drawing>
      </w:r>
    </w:p>
    <w:p w14:paraId="28CF1AC6" w14:textId="7C8FB6D0" w:rsidR="0010405D" w:rsidRDefault="0010405D" w:rsidP="00645A3A">
      <w:pPr>
        <w:rPr>
          <w:rFonts w:ascii="Helvetica" w:hAnsi="Helvetica"/>
          <w:sz w:val="20"/>
          <w:szCs w:val="20"/>
        </w:rPr>
      </w:pPr>
    </w:p>
    <w:p w14:paraId="3065444C" w14:textId="0012E94B" w:rsidR="0010405D" w:rsidRDefault="0010405D" w:rsidP="00645A3A">
      <w:pPr>
        <w:rPr>
          <w:rFonts w:ascii="Helvetica" w:hAnsi="Helvetica"/>
          <w:sz w:val="20"/>
          <w:szCs w:val="20"/>
        </w:rPr>
      </w:pPr>
      <w:r>
        <w:rPr>
          <w:rFonts w:ascii="Helvetica" w:hAnsi="Helvetica"/>
          <w:noProof/>
          <w:sz w:val="20"/>
          <w:szCs w:val="20"/>
          <w:lang w:eastAsia="fr-FR"/>
        </w:rPr>
        <w:lastRenderedPageBreak/>
        <w:drawing>
          <wp:inline distT="0" distB="0" distL="0" distR="0" wp14:anchorId="708C9126" wp14:editId="193A6817">
            <wp:extent cx="5760720" cy="207454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ra Instantané_2022-10-27_153100_univ-toulouse-psb.alma.exlibrisgroup.c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074545"/>
                    </a:xfrm>
                    <a:prstGeom prst="rect">
                      <a:avLst/>
                    </a:prstGeom>
                  </pic:spPr>
                </pic:pic>
              </a:graphicData>
            </a:graphic>
          </wp:inline>
        </w:drawing>
      </w:r>
    </w:p>
    <w:p w14:paraId="1350645F" w14:textId="2D14D72B" w:rsidR="0010405D" w:rsidRDefault="0010405D" w:rsidP="00380E55">
      <w:pPr>
        <w:jc w:val="both"/>
        <w:rPr>
          <w:rFonts w:ascii="Helvetica" w:hAnsi="Helvetica"/>
          <w:sz w:val="20"/>
          <w:szCs w:val="20"/>
        </w:rPr>
      </w:pPr>
      <w:r>
        <w:rPr>
          <w:rFonts w:ascii="Helvetica" w:hAnsi="Helvetica"/>
          <w:sz w:val="20"/>
          <w:szCs w:val="20"/>
        </w:rPr>
        <w:t xml:space="preserve">Il n’est pas nécessaire de configurer un ordre de préférence pour tous les fournisseurs. Par exemple, si un seul fournisseur est listé, ce sont les liens pointant vers celui-ci qui seront proposés en premier dans tous les cas de figure. </w:t>
      </w:r>
    </w:p>
    <w:p w14:paraId="4E7431EF" w14:textId="77777777" w:rsidR="00335C64" w:rsidRDefault="00335C64" w:rsidP="00380E55">
      <w:pPr>
        <w:jc w:val="both"/>
        <w:rPr>
          <w:rFonts w:ascii="Helvetica" w:hAnsi="Helvetica"/>
          <w:sz w:val="20"/>
          <w:szCs w:val="20"/>
        </w:rPr>
      </w:pPr>
      <w:r>
        <w:rPr>
          <w:rFonts w:ascii="Helvetica" w:hAnsi="Helvetica"/>
          <w:sz w:val="20"/>
          <w:szCs w:val="20"/>
        </w:rPr>
        <w:t xml:space="preserve">Il est à noter que cette fonction ne sera pleinement disponible qu’à partir de la mise à jour de CDI, prévue pour le 7 décembre. </w:t>
      </w:r>
    </w:p>
    <w:p w14:paraId="138F5C46" w14:textId="77777777" w:rsidR="00335C64" w:rsidRPr="00F90908" w:rsidRDefault="00335C64" w:rsidP="00380E55">
      <w:pPr>
        <w:jc w:val="both"/>
        <w:rPr>
          <w:rFonts w:ascii="Helvetica" w:hAnsi="Helvetica" w:cs="Helvetica"/>
          <w:sz w:val="20"/>
          <w:szCs w:val="20"/>
        </w:rPr>
      </w:pPr>
    </w:p>
    <w:p w14:paraId="1C040334" w14:textId="36CB4A16" w:rsidR="00F90908" w:rsidRDefault="00F90908">
      <w:pPr>
        <w:rPr>
          <w:rFonts w:eastAsiaTheme="majorEastAsia" w:cstheme="majorBidi"/>
          <w:sz w:val="40"/>
          <w:szCs w:val="32"/>
        </w:rPr>
      </w:pPr>
    </w:p>
    <w:p w14:paraId="470DA836" w14:textId="77777777" w:rsidR="00F90908" w:rsidRDefault="00F90908">
      <w:pPr>
        <w:rPr>
          <w:rFonts w:eastAsiaTheme="majorEastAsia" w:cstheme="majorBidi"/>
          <w:sz w:val="40"/>
          <w:szCs w:val="32"/>
        </w:rPr>
      </w:pPr>
      <w:r>
        <w:rPr>
          <w:rFonts w:eastAsiaTheme="majorEastAsia" w:cstheme="majorBidi"/>
          <w:sz w:val="40"/>
          <w:szCs w:val="32"/>
        </w:rPr>
        <w:br w:type="page"/>
      </w:r>
    </w:p>
    <w:p w14:paraId="3B44A5A6" w14:textId="43A66DF4" w:rsidR="00B05EAF" w:rsidRPr="00E85728" w:rsidRDefault="00335C64" w:rsidP="00B05EAF">
      <w:pPr>
        <w:keepNext/>
        <w:keepLines/>
        <w:jc w:val="both"/>
        <w:outlineLvl w:val="0"/>
        <w:rPr>
          <w:rFonts w:eastAsiaTheme="majorEastAsia" w:cstheme="majorBidi"/>
          <w:sz w:val="40"/>
          <w:szCs w:val="32"/>
        </w:rPr>
      </w:pPr>
      <w:proofErr w:type="spellStart"/>
      <w:r>
        <w:rPr>
          <w:rFonts w:eastAsiaTheme="majorEastAsia" w:cstheme="majorBidi"/>
          <w:sz w:val="40"/>
          <w:szCs w:val="32"/>
        </w:rPr>
        <w:t>Analytics</w:t>
      </w:r>
      <w:proofErr w:type="spellEnd"/>
    </w:p>
    <w:p w14:paraId="5393B290" w14:textId="6A18D357" w:rsidR="00B05EAF" w:rsidRDefault="00335C64" w:rsidP="00B05EAF">
      <w:pPr>
        <w:jc w:val="both"/>
        <w:rPr>
          <w:sz w:val="32"/>
          <w:szCs w:val="32"/>
        </w:rPr>
      </w:pPr>
      <w:r>
        <w:rPr>
          <w:sz w:val="32"/>
          <w:szCs w:val="32"/>
        </w:rPr>
        <w:t xml:space="preserve">Changement de version d’Oracle </w:t>
      </w:r>
      <w:proofErr w:type="spellStart"/>
      <w:r>
        <w:rPr>
          <w:sz w:val="32"/>
          <w:szCs w:val="32"/>
        </w:rPr>
        <w:t>Analytics</w:t>
      </w:r>
      <w:proofErr w:type="spellEnd"/>
      <w:r>
        <w:rPr>
          <w:sz w:val="32"/>
          <w:szCs w:val="32"/>
        </w:rPr>
        <w:t xml:space="preserve"> Server et amélioration du module de </w:t>
      </w:r>
      <w:r w:rsidRPr="00335C64">
        <w:rPr>
          <w:i/>
          <w:sz w:val="32"/>
          <w:szCs w:val="32"/>
        </w:rPr>
        <w:t xml:space="preserve">Data </w:t>
      </w:r>
      <w:proofErr w:type="spellStart"/>
      <w:r w:rsidRPr="00335C64">
        <w:rPr>
          <w:i/>
          <w:sz w:val="32"/>
          <w:szCs w:val="32"/>
        </w:rPr>
        <w:t>Visualization</w:t>
      </w:r>
      <w:proofErr w:type="spellEnd"/>
    </w:p>
    <w:p w14:paraId="4E852CBE" w14:textId="5718FF74" w:rsidR="00F54507" w:rsidRDefault="00335C64" w:rsidP="00335C64">
      <w:pPr>
        <w:jc w:val="both"/>
        <w:rPr>
          <w:rFonts w:ascii="Helvetica" w:hAnsi="Helvetica"/>
          <w:sz w:val="20"/>
          <w:szCs w:val="20"/>
        </w:rPr>
      </w:pPr>
      <w:r>
        <w:rPr>
          <w:rFonts w:ascii="Helvetica" w:hAnsi="Helvetica"/>
          <w:sz w:val="20"/>
          <w:szCs w:val="20"/>
        </w:rPr>
        <w:t xml:space="preserve">Une montée de version est en cours depuis septembre qui doit se terminer pour l’ensemble des institutions en novembre. La version implémentée (version 6.4) résout un certain nombre de bugs, améliore l’utilisabilité de l’interface et fournit quelques fonctions additionnelles, le tout pour la partie </w:t>
      </w:r>
      <w:r w:rsidRPr="00335C64">
        <w:rPr>
          <w:rFonts w:ascii="Helvetica" w:hAnsi="Helvetica"/>
          <w:i/>
          <w:sz w:val="20"/>
          <w:szCs w:val="20"/>
        </w:rPr>
        <w:t xml:space="preserve">Data </w:t>
      </w:r>
      <w:proofErr w:type="spellStart"/>
      <w:r w:rsidRPr="00335C64">
        <w:rPr>
          <w:rFonts w:ascii="Helvetica" w:hAnsi="Helvetica"/>
          <w:i/>
          <w:sz w:val="20"/>
          <w:szCs w:val="20"/>
        </w:rPr>
        <w:t>Visualization</w:t>
      </w:r>
      <w:proofErr w:type="spellEnd"/>
      <w:r>
        <w:rPr>
          <w:rFonts w:ascii="Helvetica" w:hAnsi="Helvetica"/>
          <w:sz w:val="20"/>
          <w:szCs w:val="20"/>
        </w:rPr>
        <w:t xml:space="preserve">. A ce titre, on retiendra entre autres choses :  </w:t>
      </w:r>
    </w:p>
    <w:p w14:paraId="2F6E9502" w14:textId="74B34A2D" w:rsidR="00335C64" w:rsidRDefault="00335C64" w:rsidP="00335C64">
      <w:pPr>
        <w:pStyle w:val="Paragraphedeliste"/>
        <w:numPr>
          <w:ilvl w:val="0"/>
          <w:numId w:val="43"/>
        </w:numPr>
        <w:jc w:val="both"/>
        <w:rPr>
          <w:rFonts w:ascii="Helvetica" w:eastAsiaTheme="majorEastAsia" w:hAnsi="Helvetica" w:cstheme="majorBidi"/>
          <w:sz w:val="20"/>
          <w:szCs w:val="20"/>
        </w:rPr>
      </w:pPr>
      <w:r>
        <w:rPr>
          <w:rFonts w:ascii="Helvetica" w:eastAsiaTheme="majorEastAsia" w:hAnsi="Helvetica" w:cstheme="majorBidi"/>
          <w:sz w:val="20"/>
          <w:szCs w:val="20"/>
        </w:rPr>
        <w:t>Les changements d’intitulés de certaines fonctions (</w:t>
      </w:r>
      <w:proofErr w:type="spellStart"/>
      <w:r w:rsidRPr="00335C64">
        <w:rPr>
          <w:rFonts w:ascii="Helvetica" w:eastAsiaTheme="majorEastAsia" w:hAnsi="Helvetica" w:cstheme="majorBidi"/>
          <w:i/>
          <w:sz w:val="20"/>
          <w:szCs w:val="20"/>
        </w:rPr>
        <w:t>project</w:t>
      </w:r>
      <w:proofErr w:type="spellEnd"/>
      <w:r>
        <w:rPr>
          <w:rFonts w:ascii="Helvetica" w:eastAsiaTheme="majorEastAsia" w:hAnsi="Helvetica" w:cstheme="majorBidi"/>
          <w:sz w:val="20"/>
          <w:szCs w:val="20"/>
        </w:rPr>
        <w:t xml:space="preserve"> devient </w:t>
      </w:r>
      <w:proofErr w:type="spellStart"/>
      <w:r w:rsidRPr="00335C64">
        <w:rPr>
          <w:rFonts w:ascii="Helvetica" w:eastAsiaTheme="majorEastAsia" w:hAnsi="Helvetica" w:cstheme="majorBidi"/>
          <w:i/>
          <w:sz w:val="20"/>
          <w:szCs w:val="20"/>
        </w:rPr>
        <w:t>workbook</w:t>
      </w:r>
      <w:proofErr w:type="spellEnd"/>
      <w:r>
        <w:rPr>
          <w:rFonts w:ascii="Helvetica" w:eastAsiaTheme="majorEastAsia" w:hAnsi="Helvetica" w:cstheme="majorBidi"/>
          <w:sz w:val="20"/>
          <w:szCs w:val="20"/>
        </w:rPr>
        <w:t>)</w:t>
      </w:r>
    </w:p>
    <w:p w14:paraId="1D318979" w14:textId="47674A42" w:rsidR="00335C64" w:rsidRDefault="00335C64" w:rsidP="00335C64">
      <w:pPr>
        <w:pStyle w:val="Paragraphedeliste"/>
        <w:numPr>
          <w:ilvl w:val="0"/>
          <w:numId w:val="43"/>
        </w:numPr>
        <w:jc w:val="both"/>
        <w:rPr>
          <w:rFonts w:ascii="Helvetica" w:eastAsiaTheme="majorEastAsia" w:hAnsi="Helvetica" w:cstheme="majorBidi"/>
          <w:sz w:val="20"/>
          <w:szCs w:val="20"/>
        </w:rPr>
      </w:pPr>
      <w:r>
        <w:rPr>
          <w:rFonts w:ascii="Helvetica" w:eastAsiaTheme="majorEastAsia" w:hAnsi="Helvetica" w:cstheme="majorBidi"/>
          <w:sz w:val="20"/>
          <w:szCs w:val="20"/>
        </w:rPr>
        <w:t xml:space="preserve">La possibilité d’ajouter des </w:t>
      </w:r>
      <w:r w:rsidRPr="00335C64">
        <w:rPr>
          <w:rFonts w:ascii="Helvetica" w:eastAsiaTheme="majorEastAsia" w:hAnsi="Helvetica" w:cstheme="majorBidi"/>
          <w:sz w:val="20"/>
          <w:szCs w:val="20"/>
        </w:rPr>
        <w:t xml:space="preserve">notes à un </w:t>
      </w:r>
      <w:proofErr w:type="spellStart"/>
      <w:r w:rsidRPr="00335C64">
        <w:rPr>
          <w:rFonts w:ascii="Helvetica" w:eastAsiaTheme="majorEastAsia" w:hAnsi="Helvetica" w:cstheme="majorBidi"/>
          <w:i/>
          <w:sz w:val="20"/>
          <w:szCs w:val="20"/>
        </w:rPr>
        <w:t>workbook</w:t>
      </w:r>
      <w:proofErr w:type="spellEnd"/>
      <w:r>
        <w:rPr>
          <w:rFonts w:ascii="Helvetica" w:eastAsiaTheme="majorEastAsia" w:hAnsi="Helvetica" w:cstheme="majorBidi"/>
          <w:i/>
          <w:sz w:val="20"/>
          <w:szCs w:val="20"/>
        </w:rPr>
        <w:t xml:space="preserve"> </w:t>
      </w:r>
      <w:r w:rsidRPr="00335C64">
        <w:rPr>
          <w:rFonts w:ascii="Helvetica" w:eastAsiaTheme="majorEastAsia" w:hAnsi="Helvetica" w:cstheme="majorBidi"/>
          <w:sz w:val="20"/>
          <w:szCs w:val="20"/>
        </w:rPr>
        <w:t>et de les relier à des données</w:t>
      </w:r>
    </w:p>
    <w:p w14:paraId="60988EF4" w14:textId="17CC7B39" w:rsidR="00335C64" w:rsidRPr="00335C64" w:rsidRDefault="00335C64" w:rsidP="00335C64">
      <w:pPr>
        <w:pStyle w:val="Paragraphedeliste"/>
        <w:numPr>
          <w:ilvl w:val="0"/>
          <w:numId w:val="43"/>
        </w:numPr>
        <w:jc w:val="both"/>
        <w:rPr>
          <w:rFonts w:ascii="Helvetica" w:eastAsiaTheme="majorEastAsia" w:hAnsi="Helvetica" w:cstheme="majorBidi"/>
          <w:sz w:val="20"/>
          <w:szCs w:val="20"/>
        </w:rPr>
      </w:pPr>
      <w:r>
        <w:rPr>
          <w:rFonts w:ascii="Helvetica" w:eastAsiaTheme="majorEastAsia" w:hAnsi="Helvetica" w:cstheme="majorBidi"/>
          <w:sz w:val="20"/>
          <w:szCs w:val="20"/>
        </w:rPr>
        <w:t>L’ajout de modes de représentation graphique</w:t>
      </w:r>
    </w:p>
    <w:p w14:paraId="603581E7" w14:textId="77777777" w:rsidR="00380E55" w:rsidRDefault="00380E55" w:rsidP="00380E55">
      <w:pPr>
        <w:jc w:val="both"/>
        <w:rPr>
          <w:rFonts w:ascii="Helvetica" w:hAnsi="Helvetica"/>
          <w:sz w:val="20"/>
          <w:szCs w:val="20"/>
        </w:rPr>
      </w:pPr>
    </w:p>
    <w:p w14:paraId="7FC57725" w14:textId="77777777" w:rsidR="00380E55" w:rsidRPr="001B017C" w:rsidRDefault="00380E55" w:rsidP="00380E55">
      <w:pPr>
        <w:jc w:val="both"/>
        <w:rPr>
          <w:rFonts w:ascii="Helvetica" w:hAnsi="Helvetica"/>
          <w:sz w:val="20"/>
          <w:szCs w:val="20"/>
        </w:rPr>
      </w:pPr>
    </w:p>
    <w:p w14:paraId="5578CCC9" w14:textId="2B726AE7" w:rsidR="00380E55" w:rsidRDefault="00380E55" w:rsidP="00380E55">
      <w:pPr>
        <w:jc w:val="both"/>
        <w:rPr>
          <w:sz w:val="32"/>
          <w:szCs w:val="32"/>
        </w:rPr>
      </w:pPr>
      <w:r>
        <w:rPr>
          <w:sz w:val="32"/>
          <w:szCs w:val="32"/>
        </w:rPr>
        <w:t>Nouveaux champs</w:t>
      </w:r>
    </w:p>
    <w:p w14:paraId="14425771" w14:textId="1D7248B6" w:rsidR="00931E52" w:rsidRDefault="00380E55" w:rsidP="00380E55">
      <w:pPr>
        <w:jc w:val="both"/>
        <w:rPr>
          <w:rFonts w:ascii="Helvetica" w:hAnsi="Helvetica"/>
          <w:sz w:val="20"/>
          <w:szCs w:val="20"/>
        </w:rPr>
      </w:pPr>
      <w:r>
        <w:rPr>
          <w:rFonts w:ascii="Helvetica" w:hAnsi="Helvetica"/>
          <w:sz w:val="20"/>
          <w:szCs w:val="20"/>
        </w:rPr>
        <w:t xml:space="preserve">Le champ </w:t>
      </w:r>
      <w:r w:rsidRPr="00380E55">
        <w:rPr>
          <w:rFonts w:ascii="Helvetica" w:hAnsi="Helvetica"/>
          <w:sz w:val="20"/>
          <w:szCs w:val="20"/>
        </w:rPr>
        <w:t xml:space="preserve">Service </w:t>
      </w:r>
      <w:r w:rsidRPr="00380E55">
        <w:rPr>
          <w:rFonts w:ascii="Helvetica" w:hAnsi="Helvetica"/>
          <w:i/>
          <w:sz w:val="20"/>
          <w:szCs w:val="20"/>
        </w:rPr>
        <w:t>Auto-</w:t>
      </w:r>
      <w:proofErr w:type="spellStart"/>
      <w:r w:rsidRPr="00380E55">
        <w:rPr>
          <w:rFonts w:ascii="Helvetica" w:hAnsi="Helvetica"/>
          <w:i/>
          <w:sz w:val="20"/>
          <w:szCs w:val="20"/>
        </w:rPr>
        <w:t>Activates</w:t>
      </w:r>
      <w:proofErr w:type="spellEnd"/>
      <w:r w:rsidRPr="00380E55">
        <w:rPr>
          <w:rFonts w:ascii="Helvetica" w:hAnsi="Helvetica"/>
          <w:i/>
          <w:sz w:val="20"/>
          <w:szCs w:val="20"/>
        </w:rPr>
        <w:t xml:space="preserve"> Portfolios</w:t>
      </w:r>
      <w:r>
        <w:rPr>
          <w:rFonts w:ascii="Helvetica" w:hAnsi="Helvetica"/>
          <w:sz w:val="20"/>
          <w:szCs w:val="20"/>
        </w:rPr>
        <w:t xml:space="preserve"> a été ajouté à </w:t>
      </w:r>
      <w:r w:rsidRPr="00380E55">
        <w:rPr>
          <w:rFonts w:ascii="Helvetica" w:hAnsi="Helvetica"/>
          <w:i/>
          <w:sz w:val="20"/>
          <w:szCs w:val="20"/>
        </w:rPr>
        <w:t>E-Inventory</w:t>
      </w:r>
      <w:r>
        <w:rPr>
          <w:rFonts w:ascii="Helvetica" w:hAnsi="Helvetica"/>
          <w:sz w:val="20"/>
          <w:szCs w:val="20"/>
        </w:rPr>
        <w:t xml:space="preserve">. Il permet de savoir si l’option d’activation automatique de nouveaux portfolios est à l’œuvre. </w:t>
      </w:r>
    </w:p>
    <w:p w14:paraId="445C2DE2" w14:textId="242DAA8F" w:rsidR="00380E55" w:rsidRDefault="00380E55" w:rsidP="00380E55">
      <w:pPr>
        <w:jc w:val="both"/>
        <w:rPr>
          <w:rFonts w:ascii="Helvetica" w:hAnsi="Helvetica"/>
          <w:sz w:val="20"/>
          <w:szCs w:val="20"/>
        </w:rPr>
      </w:pPr>
      <w:r>
        <w:rPr>
          <w:rFonts w:ascii="Helvetica" w:hAnsi="Helvetica"/>
          <w:sz w:val="20"/>
          <w:szCs w:val="20"/>
        </w:rPr>
        <w:t xml:space="preserve">Le code et la description de la bibliothèque sont désormais proposés au niveau des blocages et notes du domaine </w:t>
      </w:r>
      <w:r w:rsidRPr="00380E55">
        <w:rPr>
          <w:rFonts w:ascii="Helvetica" w:hAnsi="Helvetica"/>
          <w:i/>
          <w:sz w:val="20"/>
          <w:szCs w:val="20"/>
        </w:rPr>
        <w:t>User</w:t>
      </w:r>
      <w:r>
        <w:rPr>
          <w:rFonts w:ascii="Helvetica" w:hAnsi="Helvetica"/>
          <w:sz w:val="20"/>
          <w:szCs w:val="20"/>
        </w:rPr>
        <w:t>. Cette information est utile pour les institutions qui ont opté pour une gestion cloisonnée de leurs usagers et qui sont donc susceptibles d’affecter des blocages (ou des notes) valable</w:t>
      </w:r>
      <w:r w:rsidR="007C4987">
        <w:rPr>
          <w:rFonts w:ascii="Helvetica" w:hAnsi="Helvetica"/>
          <w:sz w:val="20"/>
          <w:szCs w:val="20"/>
        </w:rPr>
        <w:t>s pour une seule bibliothèque.</w:t>
      </w:r>
    </w:p>
    <w:p w14:paraId="06F4F4BD" w14:textId="77777777" w:rsidR="007C4987" w:rsidRDefault="007C4987" w:rsidP="00380E55">
      <w:pPr>
        <w:jc w:val="both"/>
        <w:rPr>
          <w:rFonts w:ascii="Helvetica" w:hAnsi="Helvetica"/>
          <w:sz w:val="20"/>
          <w:szCs w:val="20"/>
        </w:rPr>
      </w:pPr>
    </w:p>
    <w:p w14:paraId="52DF5EFE" w14:textId="77777777" w:rsidR="007C4987" w:rsidRPr="00E85728" w:rsidRDefault="007C4987" w:rsidP="007C4987">
      <w:pPr>
        <w:keepNext/>
        <w:keepLines/>
        <w:jc w:val="both"/>
        <w:outlineLvl w:val="0"/>
        <w:rPr>
          <w:rFonts w:eastAsiaTheme="majorEastAsia" w:cstheme="majorBidi"/>
          <w:sz w:val="40"/>
          <w:szCs w:val="32"/>
        </w:rPr>
      </w:pPr>
      <w:r>
        <w:rPr>
          <w:rFonts w:eastAsiaTheme="majorEastAsia" w:cstheme="majorBidi"/>
          <w:sz w:val="40"/>
          <w:szCs w:val="32"/>
        </w:rPr>
        <w:t>Acquisitions</w:t>
      </w:r>
    </w:p>
    <w:p w14:paraId="5E4C21B8" w14:textId="77777777" w:rsidR="007C4987" w:rsidRDefault="007C4987" w:rsidP="007C4987">
      <w:pPr>
        <w:jc w:val="both"/>
        <w:rPr>
          <w:sz w:val="32"/>
          <w:szCs w:val="32"/>
        </w:rPr>
      </w:pPr>
      <w:r>
        <w:rPr>
          <w:sz w:val="32"/>
          <w:szCs w:val="32"/>
        </w:rPr>
        <w:t>Modification annoncée de la présentation de la recherche avancée et des pages liées aux lignes de commande (liste de résultats, liste des tâches, réception)</w:t>
      </w:r>
    </w:p>
    <w:p w14:paraId="29B67BD1"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Ex </w:t>
      </w:r>
      <w:proofErr w:type="spellStart"/>
      <w:r>
        <w:rPr>
          <w:rFonts w:ascii="Helvetica" w:eastAsia="Times New Roman" w:hAnsi="Helvetica" w:cs="Helvetica"/>
          <w:color w:val="000000"/>
          <w:sz w:val="20"/>
          <w:szCs w:val="20"/>
          <w:lang w:eastAsia="fr-FR"/>
        </w:rPr>
        <w:t>Libris</w:t>
      </w:r>
      <w:proofErr w:type="spellEnd"/>
      <w:r>
        <w:rPr>
          <w:rFonts w:ascii="Helvetica" w:eastAsia="Times New Roman" w:hAnsi="Helvetica" w:cs="Helvetica"/>
          <w:color w:val="000000"/>
          <w:sz w:val="20"/>
          <w:szCs w:val="20"/>
          <w:lang w:eastAsia="fr-FR"/>
        </w:rPr>
        <w:t xml:space="preserve"> annonce plusieurs changements à venir concernant l’ergonomie des pages liées au circuit d’acquisition, à la recherche des lignes de commande et à la réception des exemplaires. Ces modifications pourront également avoir un léger impact sur le circuit de travail dans Alma.</w:t>
      </w:r>
    </w:p>
    <w:p w14:paraId="58B8D0F3"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Plusieurs phases de mises à jour sont prévues entre la fin 2022 et le début de l’année 2024 mais pour l’instant, nous ne sommes pas contraints d’activer cette nouvelle présentation dans notre base de production. Nous envisageons d’abord de tester les changements dans la </w:t>
      </w:r>
      <w:proofErr w:type="spellStart"/>
      <w:r>
        <w:rPr>
          <w:rFonts w:ascii="Helvetica" w:eastAsia="Times New Roman" w:hAnsi="Helvetica" w:cs="Helvetica"/>
          <w:color w:val="000000"/>
          <w:sz w:val="20"/>
          <w:szCs w:val="20"/>
          <w:lang w:eastAsia="fr-FR"/>
        </w:rPr>
        <w:t>sandbox</w:t>
      </w:r>
      <w:proofErr w:type="spellEnd"/>
      <w:r>
        <w:rPr>
          <w:rFonts w:ascii="Helvetica" w:eastAsia="Times New Roman" w:hAnsi="Helvetica" w:cs="Helvetica"/>
          <w:color w:val="000000"/>
          <w:sz w:val="20"/>
          <w:szCs w:val="20"/>
          <w:lang w:eastAsia="fr-FR"/>
        </w:rPr>
        <w:t>, de les documenter puis éventuellement d’activer cette nouvelle interface à la rentrée universitaire 2023.</w:t>
      </w:r>
    </w:p>
    <w:p w14:paraId="4534D3D1"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Les copies d’écran ci-dessous sont en anglais car elles proviennent de la documentation Alma (ce n’est pas encore actif dans notre base de test)</w:t>
      </w:r>
    </w:p>
    <w:p w14:paraId="16AED517"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Cette nouvelle présentation se veut plus ergonomique et doit donner la possibilité de passer plus facilement d’une tâche à l’autre en ce qui concerne les lignes de commande.</w:t>
      </w:r>
    </w:p>
    <w:p w14:paraId="4C3196DE"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Voici les premiers changements qui nous intéressent pour les acquisitions.</w:t>
      </w:r>
    </w:p>
    <w:p w14:paraId="25758F61" w14:textId="77777777" w:rsidR="007C4987" w:rsidRPr="000D4DE0" w:rsidRDefault="007C4987" w:rsidP="007C4987">
      <w:pPr>
        <w:jc w:val="both"/>
        <w:rPr>
          <w:rFonts w:ascii="Helvetica" w:eastAsia="Times New Roman" w:hAnsi="Helvetica" w:cs="Helvetica"/>
          <w:color w:val="000000"/>
          <w:sz w:val="20"/>
          <w:szCs w:val="20"/>
          <w:u w:val="single"/>
          <w:lang w:eastAsia="fr-FR"/>
        </w:rPr>
      </w:pPr>
      <w:r w:rsidRPr="000D4DE0">
        <w:rPr>
          <w:rFonts w:ascii="Helvetica" w:eastAsia="Times New Roman" w:hAnsi="Helvetica" w:cs="Helvetica"/>
          <w:color w:val="000000"/>
          <w:sz w:val="20"/>
          <w:szCs w:val="20"/>
          <w:u w:val="single"/>
          <w:lang w:eastAsia="fr-FR"/>
        </w:rPr>
        <w:t>Recherche avancée</w:t>
      </w:r>
    </w:p>
    <w:p w14:paraId="2A0A2FB7"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Le </w:t>
      </w:r>
      <w:r w:rsidRPr="00C8546D">
        <w:rPr>
          <w:rFonts w:ascii="Helvetica" w:eastAsia="Times New Roman" w:hAnsi="Helvetica" w:cs="Helvetica"/>
          <w:b/>
          <w:color w:val="000000"/>
          <w:sz w:val="20"/>
          <w:szCs w:val="20"/>
          <w:lang w:eastAsia="fr-FR"/>
        </w:rPr>
        <w:t>formulaire de recherche avancé</w:t>
      </w:r>
      <w:r>
        <w:rPr>
          <w:rFonts w:ascii="Helvetica" w:eastAsia="Times New Roman" w:hAnsi="Helvetica" w:cs="Helvetica"/>
          <w:color w:val="000000"/>
          <w:sz w:val="20"/>
          <w:szCs w:val="20"/>
          <w:lang w:eastAsia="fr-FR"/>
        </w:rPr>
        <w:t>e va évoluer et ressembler à celui qui a été mis en place pour la recherche de notices de fonds.</w:t>
      </w:r>
    </w:p>
    <w:p w14:paraId="63D55127" w14:textId="77777777" w:rsidR="007C4987" w:rsidRDefault="007C4987" w:rsidP="007C4987">
      <w:pPr>
        <w:jc w:val="center"/>
        <w:rPr>
          <w:rFonts w:ascii="Helvetica" w:eastAsia="Times New Roman" w:hAnsi="Helvetica" w:cs="Helvetica"/>
          <w:color w:val="000000"/>
          <w:sz w:val="20"/>
          <w:szCs w:val="20"/>
          <w:lang w:eastAsia="fr-FR"/>
        </w:rPr>
      </w:pPr>
      <w:r w:rsidRPr="003D5D44">
        <w:rPr>
          <w:noProof/>
          <w:lang w:eastAsia="fr-FR"/>
        </w:rPr>
        <w:drawing>
          <wp:inline distT="0" distB="0" distL="0" distR="0" wp14:anchorId="48114FC5" wp14:editId="5B2E18D9">
            <wp:extent cx="2867891" cy="2585907"/>
            <wp:effectExtent l="0" t="0" r="889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985" cy="2594107"/>
                    </a:xfrm>
                    <a:prstGeom prst="rect">
                      <a:avLst/>
                    </a:prstGeom>
                  </pic:spPr>
                </pic:pic>
              </a:graphicData>
            </a:graphic>
          </wp:inline>
        </w:drawing>
      </w:r>
    </w:p>
    <w:p w14:paraId="09971E90" w14:textId="77777777" w:rsidR="007C4987" w:rsidRPr="000D4DE0" w:rsidRDefault="007C4987" w:rsidP="007C4987">
      <w:pPr>
        <w:jc w:val="both"/>
        <w:rPr>
          <w:rFonts w:ascii="Helvetica" w:eastAsia="Times New Roman" w:hAnsi="Helvetica" w:cs="Helvetica"/>
          <w:color w:val="000000"/>
          <w:sz w:val="20"/>
          <w:szCs w:val="20"/>
          <w:u w:val="single"/>
          <w:lang w:eastAsia="fr-FR"/>
        </w:rPr>
      </w:pPr>
      <w:r w:rsidRPr="000D4DE0">
        <w:rPr>
          <w:rFonts w:ascii="Helvetica" w:eastAsia="Times New Roman" w:hAnsi="Helvetica" w:cs="Helvetica"/>
          <w:color w:val="000000"/>
          <w:sz w:val="20"/>
          <w:szCs w:val="20"/>
          <w:u w:val="single"/>
          <w:lang w:eastAsia="fr-FR"/>
        </w:rPr>
        <w:t>Menu Acquisitions</w:t>
      </w:r>
    </w:p>
    <w:p w14:paraId="057C222E"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Le </w:t>
      </w:r>
      <w:r w:rsidRPr="000D4DE0">
        <w:rPr>
          <w:rFonts w:ascii="Helvetica" w:eastAsia="Times New Roman" w:hAnsi="Helvetica" w:cs="Helvetica"/>
          <w:b/>
          <w:color w:val="000000"/>
          <w:sz w:val="20"/>
          <w:szCs w:val="20"/>
          <w:lang w:eastAsia="fr-FR"/>
        </w:rPr>
        <w:t>menu Acquisitions</w:t>
      </w:r>
      <w:r>
        <w:rPr>
          <w:rFonts w:ascii="Helvetica" w:eastAsia="Times New Roman" w:hAnsi="Helvetica" w:cs="Helvetica"/>
          <w:color w:val="000000"/>
          <w:sz w:val="20"/>
          <w:szCs w:val="20"/>
          <w:lang w:eastAsia="fr-FR"/>
        </w:rPr>
        <w:t xml:space="preserve"> va être remanié grâce à l’ajout d’une nouvelle action « All Po Lines » (toutes les lignes de commande) et par le déplacement de « Package » (regrouper) qui est remonté dans la section « Lignes de commande ».</w:t>
      </w:r>
    </w:p>
    <w:p w14:paraId="0637E41B" w14:textId="77777777" w:rsidR="007C4987" w:rsidRDefault="007C4987" w:rsidP="007C4987">
      <w:pPr>
        <w:jc w:val="both"/>
        <w:rPr>
          <w:rFonts w:ascii="Helvetica" w:eastAsia="Times New Roman" w:hAnsi="Helvetica" w:cs="Helvetica"/>
          <w:color w:val="000000"/>
          <w:sz w:val="20"/>
          <w:szCs w:val="20"/>
          <w:lang w:eastAsia="fr-FR"/>
        </w:rPr>
      </w:pPr>
      <w:r w:rsidRPr="009D47DB">
        <w:rPr>
          <w:noProof/>
          <w:lang w:eastAsia="fr-FR"/>
        </w:rPr>
        <w:drawing>
          <wp:inline distT="0" distB="0" distL="0" distR="0" wp14:anchorId="127C2656" wp14:editId="3FD75B21">
            <wp:extent cx="4275117" cy="2035770"/>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4230" cy="2044872"/>
                    </a:xfrm>
                    <a:prstGeom prst="rect">
                      <a:avLst/>
                    </a:prstGeom>
                  </pic:spPr>
                </pic:pic>
              </a:graphicData>
            </a:graphic>
          </wp:inline>
        </w:drawing>
      </w:r>
    </w:p>
    <w:p w14:paraId="2936856D"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En cliquant sur « All Po Lines », la liste globale des lignes de commande s’affiche (pour une bibliothèque donnée). Il est alors possible d’utiliser les facettes sur le panneau de gauche pour appliquer un filtre par exemple sur le statut de la ligne de commande (plusieurs facettes peuvent être sélectionnées en même temps)</w:t>
      </w:r>
    </w:p>
    <w:p w14:paraId="2BA9611E" w14:textId="77777777" w:rsidR="007C4987" w:rsidRDefault="007C4987" w:rsidP="007C4987">
      <w:pPr>
        <w:jc w:val="both"/>
        <w:rPr>
          <w:rFonts w:ascii="Helvetica" w:eastAsia="Times New Roman" w:hAnsi="Helvetica" w:cs="Helvetica"/>
          <w:color w:val="000000"/>
          <w:sz w:val="20"/>
          <w:szCs w:val="20"/>
          <w:lang w:eastAsia="fr-FR"/>
        </w:rPr>
      </w:pPr>
      <w:r w:rsidRPr="000D2EDF">
        <w:rPr>
          <w:rFonts w:ascii="Helvetica" w:eastAsia="Times New Roman" w:hAnsi="Helvetica" w:cs="Helvetica"/>
          <w:noProof/>
          <w:color w:val="000000"/>
          <w:sz w:val="20"/>
          <w:szCs w:val="20"/>
          <w:lang w:eastAsia="fr-FR"/>
        </w:rPr>
        <w:drawing>
          <wp:inline distT="0" distB="0" distL="0" distR="0" wp14:anchorId="43CFC912" wp14:editId="15618757">
            <wp:extent cx="5092301" cy="2701636"/>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0124" cy="2705787"/>
                    </a:xfrm>
                    <a:prstGeom prst="rect">
                      <a:avLst/>
                    </a:prstGeom>
                  </pic:spPr>
                </pic:pic>
              </a:graphicData>
            </a:graphic>
          </wp:inline>
        </w:drawing>
      </w:r>
    </w:p>
    <w:p w14:paraId="1BFF906C"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Les onglets « attribué à moi », « non attribué » ou « attribué à d’autres » n’existent plus et sont remplacés par des facettes.</w:t>
      </w:r>
    </w:p>
    <w:p w14:paraId="36542E84" w14:textId="77777777" w:rsidR="007C4987" w:rsidRDefault="007C4987" w:rsidP="007C4987">
      <w:pPr>
        <w:jc w:val="both"/>
        <w:rPr>
          <w:rFonts w:ascii="Helvetica" w:eastAsia="Times New Roman" w:hAnsi="Helvetica" w:cs="Helvetica"/>
          <w:color w:val="000000"/>
          <w:sz w:val="20"/>
          <w:szCs w:val="20"/>
          <w:lang w:eastAsia="fr-FR"/>
        </w:rPr>
      </w:pPr>
      <w:r w:rsidRPr="001C3474">
        <w:rPr>
          <w:noProof/>
          <w:lang w:eastAsia="fr-FR"/>
        </w:rPr>
        <w:drawing>
          <wp:inline distT="0" distB="0" distL="0" distR="0" wp14:anchorId="5991D93D" wp14:editId="4B47E1AF">
            <wp:extent cx="5967110" cy="3498574"/>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9428" cy="3511659"/>
                    </a:xfrm>
                    <a:prstGeom prst="rect">
                      <a:avLst/>
                    </a:prstGeom>
                  </pic:spPr>
                </pic:pic>
              </a:graphicData>
            </a:graphic>
          </wp:inline>
        </w:drawing>
      </w:r>
    </w:p>
    <w:p w14:paraId="56894908"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De plus, il n’y a plus d’attribution automatique de la LBC à la personne qui modifie cette ligne. Si l’on souhaite qu’elle ne reste pas « non attribuée », il faut se l’attribuer ou l’attribuer à quelqu’un.</w:t>
      </w:r>
    </w:p>
    <w:p w14:paraId="6BC391E5" w14:textId="77777777" w:rsidR="007C4987" w:rsidRPr="000D4DE0" w:rsidRDefault="007C4987" w:rsidP="007C4987">
      <w:pPr>
        <w:jc w:val="both"/>
        <w:rPr>
          <w:rFonts w:ascii="Helvetica" w:eastAsia="Times New Roman" w:hAnsi="Helvetica" w:cs="Helvetica"/>
          <w:color w:val="000000"/>
          <w:sz w:val="20"/>
          <w:szCs w:val="20"/>
          <w:u w:val="single"/>
          <w:lang w:eastAsia="fr-FR"/>
        </w:rPr>
      </w:pPr>
      <w:r w:rsidRPr="000D4DE0">
        <w:rPr>
          <w:rFonts w:ascii="Helvetica" w:eastAsia="Times New Roman" w:hAnsi="Helvetica" w:cs="Helvetica"/>
          <w:color w:val="000000"/>
          <w:sz w:val="20"/>
          <w:szCs w:val="20"/>
          <w:u w:val="single"/>
          <w:lang w:eastAsia="fr-FR"/>
        </w:rPr>
        <w:t>Affichage de la ligne de commande</w:t>
      </w:r>
    </w:p>
    <w:p w14:paraId="48C0DDCD"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En cliquant sur une ligne de commande particulière, le résultat s’affiche sous la forme d’un écran séparé : à gauche, le résumé de la ligne de commande, à droite l’éditeur de la ligne de commande.</w:t>
      </w:r>
    </w:p>
    <w:p w14:paraId="2A09D29F" w14:textId="77777777" w:rsidR="007C4987" w:rsidRDefault="007C4987" w:rsidP="007C4987">
      <w:pPr>
        <w:jc w:val="both"/>
        <w:rPr>
          <w:rFonts w:ascii="Helvetica" w:eastAsia="Times New Roman" w:hAnsi="Helvetica" w:cs="Helvetica"/>
          <w:color w:val="000000"/>
          <w:sz w:val="20"/>
          <w:szCs w:val="20"/>
          <w:lang w:eastAsia="fr-FR"/>
        </w:rPr>
      </w:pPr>
      <w:r w:rsidRPr="00A70283">
        <w:rPr>
          <w:noProof/>
          <w:lang w:eastAsia="fr-FR"/>
        </w:rPr>
        <w:drawing>
          <wp:inline distT="0" distB="0" distL="0" distR="0" wp14:anchorId="1FA9DF54" wp14:editId="52E94A71">
            <wp:extent cx="5760720" cy="23933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393315"/>
                    </a:xfrm>
                    <a:prstGeom prst="rect">
                      <a:avLst/>
                    </a:prstGeom>
                  </pic:spPr>
                </pic:pic>
              </a:graphicData>
            </a:graphic>
          </wp:inline>
        </w:drawing>
      </w:r>
    </w:p>
    <w:p w14:paraId="55E1ECBC"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L’éditeur de ligne de commande propose les mêmes sections que dans la version précédente (résumé, information sur le fournisseur, exemplaires commandés, tarification, financement, codes statistiques) mais la présentation est différente (exemple de la section information sur le fournisseur), les onglets de la ligne de commande ont notamment disparu.</w:t>
      </w:r>
    </w:p>
    <w:p w14:paraId="5743D35E" w14:textId="77777777" w:rsidR="007C4987" w:rsidRPr="00946661" w:rsidRDefault="007C4987" w:rsidP="007C4987">
      <w:pPr>
        <w:jc w:val="both"/>
        <w:rPr>
          <w:rFonts w:ascii="Helvetica" w:eastAsia="Times New Roman" w:hAnsi="Helvetica" w:cs="Helvetica"/>
          <w:color w:val="000000"/>
          <w:sz w:val="20"/>
          <w:szCs w:val="20"/>
          <w:lang w:eastAsia="fr-FR"/>
        </w:rPr>
      </w:pPr>
      <w:r w:rsidRPr="00DA48D5">
        <w:rPr>
          <w:noProof/>
          <w:lang w:eastAsia="fr-FR"/>
        </w:rPr>
        <w:drawing>
          <wp:inline distT="0" distB="0" distL="0" distR="0" wp14:anchorId="5AD9C257" wp14:editId="6F017605">
            <wp:extent cx="5760720" cy="32435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3580"/>
                    </a:xfrm>
                    <a:prstGeom prst="rect">
                      <a:avLst/>
                    </a:prstGeom>
                  </pic:spPr>
                </pic:pic>
              </a:graphicData>
            </a:graphic>
          </wp:inline>
        </w:drawing>
      </w:r>
    </w:p>
    <w:p w14:paraId="6010ACA4"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Les notes (note au fournisseur, note à réception, note interne) apparaissent sous la forme de post </w:t>
      </w:r>
      <w:proofErr w:type="spellStart"/>
      <w:r>
        <w:rPr>
          <w:rFonts w:ascii="Helvetica" w:eastAsia="Times New Roman" w:hAnsi="Helvetica" w:cs="Helvetica"/>
          <w:color w:val="000000"/>
          <w:sz w:val="20"/>
          <w:szCs w:val="20"/>
          <w:lang w:eastAsia="fr-FR"/>
        </w:rPr>
        <w:t>it</w:t>
      </w:r>
      <w:proofErr w:type="spellEnd"/>
      <w:r>
        <w:rPr>
          <w:rFonts w:ascii="Helvetica" w:eastAsia="Times New Roman" w:hAnsi="Helvetica" w:cs="Helvetica"/>
          <w:color w:val="000000"/>
          <w:sz w:val="20"/>
          <w:szCs w:val="20"/>
          <w:lang w:eastAsia="fr-FR"/>
        </w:rPr>
        <w:t xml:space="preserve"> dans la ligne de commande.</w:t>
      </w:r>
    </w:p>
    <w:p w14:paraId="7ABBF434" w14:textId="77777777" w:rsidR="007C4987" w:rsidRDefault="007C4987" w:rsidP="007C4987">
      <w:pPr>
        <w:jc w:val="both"/>
        <w:rPr>
          <w:rFonts w:ascii="Helvetica" w:eastAsia="Times New Roman" w:hAnsi="Helvetica" w:cs="Helvetica"/>
          <w:color w:val="000000"/>
          <w:sz w:val="20"/>
          <w:szCs w:val="20"/>
          <w:lang w:eastAsia="fr-FR"/>
        </w:rPr>
      </w:pPr>
      <w:r w:rsidRPr="00DA48D5">
        <w:rPr>
          <w:noProof/>
          <w:lang w:eastAsia="fr-FR"/>
        </w:rPr>
        <w:drawing>
          <wp:inline distT="0" distB="0" distL="0" distR="0" wp14:anchorId="261985AB" wp14:editId="3C29C1AB">
            <wp:extent cx="2870421" cy="1208598"/>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5336" cy="1214878"/>
                    </a:xfrm>
                    <a:prstGeom prst="rect">
                      <a:avLst/>
                    </a:prstGeom>
                  </pic:spPr>
                </pic:pic>
              </a:graphicData>
            </a:graphic>
          </wp:inline>
        </w:drawing>
      </w:r>
    </w:p>
    <w:p w14:paraId="17946CEC" w14:textId="77777777" w:rsidR="007C4987" w:rsidRDefault="007C4987" w:rsidP="007C4987">
      <w:pPr>
        <w:jc w:val="both"/>
        <w:rPr>
          <w:rFonts w:ascii="Helvetica" w:eastAsia="Times New Roman" w:hAnsi="Helvetica" w:cs="Helvetica"/>
          <w:color w:val="000000"/>
          <w:sz w:val="20"/>
          <w:szCs w:val="20"/>
          <w:lang w:eastAsia="fr-FR"/>
        </w:rPr>
      </w:pPr>
    </w:p>
    <w:p w14:paraId="3423614B"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Il sera possible de rajouter une étiquette aux lignes de commande (pour des besoins de gestion par exemple) par lot.</w:t>
      </w:r>
    </w:p>
    <w:p w14:paraId="4C583FA1" w14:textId="77777777" w:rsidR="007C4987" w:rsidRDefault="007C4987" w:rsidP="007C4987">
      <w:pPr>
        <w:jc w:val="both"/>
        <w:rPr>
          <w:rFonts w:ascii="Helvetica" w:eastAsia="Times New Roman" w:hAnsi="Helvetica" w:cs="Helvetica"/>
          <w:color w:val="000000"/>
          <w:sz w:val="20"/>
          <w:szCs w:val="20"/>
          <w:lang w:eastAsia="fr-FR"/>
        </w:rPr>
      </w:pPr>
      <w:r w:rsidRPr="0093242D">
        <w:rPr>
          <w:noProof/>
          <w:lang w:eastAsia="fr-FR"/>
        </w:rPr>
        <w:drawing>
          <wp:inline distT="0" distB="0" distL="0" distR="0" wp14:anchorId="28F7A114" wp14:editId="3EEB3B95">
            <wp:extent cx="4535424" cy="1459815"/>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7878" cy="1463824"/>
                    </a:xfrm>
                    <a:prstGeom prst="rect">
                      <a:avLst/>
                    </a:prstGeom>
                  </pic:spPr>
                </pic:pic>
              </a:graphicData>
            </a:graphic>
          </wp:inline>
        </w:drawing>
      </w:r>
    </w:p>
    <w:p w14:paraId="708DE4F8" w14:textId="77777777" w:rsidR="007C4987" w:rsidRDefault="007C4987" w:rsidP="007C4987">
      <w:pPr>
        <w:jc w:val="both"/>
        <w:rPr>
          <w:rFonts w:ascii="Helvetica" w:eastAsia="Times New Roman" w:hAnsi="Helvetica" w:cs="Helvetica"/>
          <w:color w:val="000000"/>
          <w:sz w:val="20"/>
          <w:szCs w:val="20"/>
          <w:lang w:eastAsia="fr-FR"/>
        </w:rPr>
      </w:pPr>
      <w:r w:rsidRPr="0093242D">
        <w:rPr>
          <w:noProof/>
          <w:lang w:eastAsia="fr-FR"/>
        </w:rPr>
        <w:drawing>
          <wp:inline distT="0" distB="0" distL="0" distR="0" wp14:anchorId="61598943" wp14:editId="42F3A9C7">
            <wp:extent cx="2600553" cy="139221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7824" cy="1401461"/>
                    </a:xfrm>
                    <a:prstGeom prst="rect">
                      <a:avLst/>
                    </a:prstGeom>
                  </pic:spPr>
                </pic:pic>
              </a:graphicData>
            </a:graphic>
          </wp:inline>
        </w:drawing>
      </w:r>
    </w:p>
    <w:p w14:paraId="0E95E400"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Il sera alors possible de faire une recherche sur cette étiquette (pas d’index particulier mais utiliser l’index tout) ou d’utiliser la facette dédiée.</w:t>
      </w:r>
    </w:p>
    <w:p w14:paraId="275888AD" w14:textId="77777777" w:rsidR="007C4987" w:rsidRDefault="007C4987" w:rsidP="007C4987">
      <w:pPr>
        <w:jc w:val="both"/>
        <w:rPr>
          <w:rFonts w:ascii="Helvetica" w:eastAsia="Times New Roman" w:hAnsi="Helvetica" w:cs="Helvetica"/>
          <w:color w:val="000000"/>
          <w:sz w:val="20"/>
          <w:szCs w:val="20"/>
          <w:lang w:eastAsia="fr-FR"/>
        </w:rPr>
      </w:pPr>
      <w:r w:rsidRPr="0093242D">
        <w:rPr>
          <w:noProof/>
          <w:lang w:eastAsia="fr-FR"/>
        </w:rPr>
        <w:drawing>
          <wp:inline distT="0" distB="0" distL="0" distR="0" wp14:anchorId="18C51A5A" wp14:editId="5C90A71D">
            <wp:extent cx="2488781" cy="1620982"/>
            <wp:effectExtent l="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2458" cy="1642916"/>
                    </a:xfrm>
                    <a:prstGeom prst="rect">
                      <a:avLst/>
                    </a:prstGeom>
                  </pic:spPr>
                </pic:pic>
              </a:graphicData>
            </a:graphic>
          </wp:inline>
        </w:drawing>
      </w:r>
    </w:p>
    <w:p w14:paraId="0A8022ED"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Concernant les modifications sur le circuit de travail : deux actions nouvelles sont à noter (mais sont encore à tester).</w:t>
      </w:r>
    </w:p>
    <w:p w14:paraId="70C89BE9" w14:textId="77777777" w:rsidR="007C4987" w:rsidRPr="000D4DE0" w:rsidRDefault="007C4987" w:rsidP="007C4987">
      <w:pPr>
        <w:pStyle w:val="Paragraphedeliste"/>
        <w:numPr>
          <w:ilvl w:val="0"/>
          <w:numId w:val="44"/>
        </w:numPr>
        <w:jc w:val="both"/>
        <w:rPr>
          <w:rFonts w:ascii="Helvetica" w:eastAsia="Times New Roman" w:hAnsi="Helvetica" w:cs="Helvetica"/>
          <w:color w:val="000000"/>
          <w:sz w:val="20"/>
          <w:szCs w:val="20"/>
          <w:lang w:eastAsia="fr-FR"/>
        </w:rPr>
      </w:pPr>
      <w:r w:rsidRPr="000D4DE0">
        <w:rPr>
          <w:rFonts w:ascii="Helvetica" w:eastAsia="Times New Roman" w:hAnsi="Helvetica" w:cs="Helvetica"/>
          <w:color w:val="000000"/>
          <w:sz w:val="20"/>
          <w:szCs w:val="20"/>
          <w:lang w:eastAsia="fr-FR"/>
        </w:rPr>
        <w:t>Accès au formulaire de saisie</w:t>
      </w:r>
    </w:p>
    <w:p w14:paraId="5B12343A"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Après le 1</w:t>
      </w:r>
      <w:r w:rsidRPr="0015679D">
        <w:rPr>
          <w:rFonts w:ascii="Helvetica" w:eastAsia="Times New Roman" w:hAnsi="Helvetica" w:cs="Helvetica"/>
          <w:color w:val="000000"/>
          <w:sz w:val="20"/>
          <w:szCs w:val="20"/>
          <w:vertAlign w:val="superscript"/>
          <w:lang w:eastAsia="fr-FR"/>
        </w:rPr>
        <w:t>er</w:t>
      </w:r>
      <w:r>
        <w:rPr>
          <w:rFonts w:ascii="Helvetica" w:eastAsia="Times New Roman" w:hAnsi="Helvetica" w:cs="Helvetica"/>
          <w:color w:val="000000"/>
          <w:sz w:val="20"/>
          <w:szCs w:val="20"/>
          <w:lang w:eastAsia="fr-FR"/>
        </w:rPr>
        <w:t xml:space="preserve"> formulaire de saisie de la ligne de commande</w:t>
      </w:r>
    </w:p>
    <w:p w14:paraId="646A7534" w14:textId="77777777" w:rsidR="007C4987" w:rsidRDefault="007C4987" w:rsidP="007C4987">
      <w:pPr>
        <w:jc w:val="both"/>
        <w:rPr>
          <w:rFonts w:ascii="Helvetica" w:eastAsia="Times New Roman" w:hAnsi="Helvetica" w:cs="Helvetica"/>
          <w:color w:val="000000"/>
          <w:sz w:val="20"/>
          <w:szCs w:val="20"/>
          <w:lang w:eastAsia="fr-FR"/>
        </w:rPr>
      </w:pPr>
      <w:r w:rsidRPr="00B653E4">
        <w:rPr>
          <w:noProof/>
          <w:lang w:eastAsia="fr-FR"/>
        </w:rPr>
        <w:drawing>
          <wp:inline distT="0" distB="0" distL="0" distR="0" wp14:anchorId="3467FB1F" wp14:editId="1419AA35">
            <wp:extent cx="2968022" cy="1644733"/>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4921" cy="1654097"/>
                    </a:xfrm>
                    <a:prstGeom prst="rect">
                      <a:avLst/>
                    </a:prstGeom>
                  </pic:spPr>
                </pic:pic>
              </a:graphicData>
            </a:graphic>
          </wp:inline>
        </w:drawing>
      </w:r>
    </w:p>
    <w:p w14:paraId="631F2774"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Il n’y a plus d’accès direct au formulaire détaillé de la LBC mais à une liste de résultats. Il faut, alors, sélectionner la ligne </w:t>
      </w:r>
    </w:p>
    <w:p w14:paraId="3D3965A2" w14:textId="77777777" w:rsidR="007C4987" w:rsidRDefault="007C4987" w:rsidP="007C4987">
      <w:pPr>
        <w:jc w:val="both"/>
        <w:rPr>
          <w:rFonts w:ascii="Helvetica" w:eastAsia="Times New Roman" w:hAnsi="Helvetica" w:cs="Helvetica"/>
          <w:color w:val="000000"/>
          <w:sz w:val="20"/>
          <w:szCs w:val="20"/>
          <w:lang w:eastAsia="fr-FR"/>
        </w:rPr>
      </w:pPr>
      <w:r w:rsidRPr="00B653E4">
        <w:rPr>
          <w:noProof/>
          <w:lang w:eastAsia="fr-FR"/>
        </w:rPr>
        <w:drawing>
          <wp:inline distT="0" distB="0" distL="0" distR="0" wp14:anchorId="37A373D8" wp14:editId="149FEEFA">
            <wp:extent cx="5760720" cy="12077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207770"/>
                    </a:xfrm>
                    <a:prstGeom prst="rect">
                      <a:avLst/>
                    </a:prstGeom>
                  </pic:spPr>
                </pic:pic>
              </a:graphicData>
            </a:graphic>
          </wp:inline>
        </w:drawing>
      </w:r>
    </w:p>
    <w:p w14:paraId="5DFCBF2F" w14:textId="77777777" w:rsidR="007C4987" w:rsidRDefault="007C4987" w:rsidP="007C4987">
      <w:pPr>
        <w:jc w:val="both"/>
        <w:rPr>
          <w:rFonts w:ascii="Helvetica" w:eastAsia="Times New Roman" w:hAnsi="Helvetica" w:cs="Helvetica"/>
          <w:color w:val="000000"/>
          <w:sz w:val="20"/>
          <w:szCs w:val="20"/>
          <w:lang w:eastAsia="fr-FR"/>
        </w:rPr>
      </w:pPr>
      <w:proofErr w:type="gramStart"/>
      <w:r>
        <w:rPr>
          <w:rFonts w:ascii="Helvetica" w:eastAsia="Times New Roman" w:hAnsi="Helvetica" w:cs="Helvetica"/>
          <w:color w:val="000000"/>
          <w:sz w:val="20"/>
          <w:szCs w:val="20"/>
          <w:lang w:eastAsia="fr-FR"/>
        </w:rPr>
        <w:t>pour</w:t>
      </w:r>
      <w:proofErr w:type="gramEnd"/>
      <w:r>
        <w:rPr>
          <w:rFonts w:ascii="Helvetica" w:eastAsia="Times New Roman" w:hAnsi="Helvetica" w:cs="Helvetica"/>
          <w:color w:val="000000"/>
          <w:sz w:val="20"/>
          <w:szCs w:val="20"/>
          <w:lang w:eastAsia="fr-FR"/>
        </w:rPr>
        <w:t xml:space="preserve"> accéder au formulaire de saisie (panneau de droite)</w:t>
      </w:r>
    </w:p>
    <w:p w14:paraId="443F44EB" w14:textId="77777777" w:rsidR="007C4987" w:rsidRDefault="007C4987" w:rsidP="007C4987">
      <w:pPr>
        <w:jc w:val="both"/>
        <w:rPr>
          <w:rFonts w:ascii="Helvetica" w:eastAsia="Times New Roman" w:hAnsi="Helvetica" w:cs="Helvetica"/>
          <w:color w:val="000000"/>
          <w:sz w:val="20"/>
          <w:szCs w:val="20"/>
          <w:lang w:eastAsia="fr-FR"/>
        </w:rPr>
      </w:pPr>
      <w:r w:rsidRPr="00A70283">
        <w:rPr>
          <w:noProof/>
          <w:lang w:eastAsia="fr-FR"/>
        </w:rPr>
        <w:drawing>
          <wp:inline distT="0" distB="0" distL="0" distR="0" wp14:anchorId="569FA790" wp14:editId="45EC28BD">
            <wp:extent cx="5404461" cy="2245306"/>
            <wp:effectExtent l="0" t="0" r="635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7156" cy="2250580"/>
                    </a:xfrm>
                    <a:prstGeom prst="rect">
                      <a:avLst/>
                    </a:prstGeom>
                  </pic:spPr>
                </pic:pic>
              </a:graphicData>
            </a:graphic>
          </wp:inline>
        </w:drawing>
      </w:r>
    </w:p>
    <w:p w14:paraId="4A43B2DA" w14:textId="77777777" w:rsidR="007C4987" w:rsidRPr="000D4DE0" w:rsidRDefault="007C4987" w:rsidP="007C4987">
      <w:pPr>
        <w:pStyle w:val="Paragraphedeliste"/>
        <w:numPr>
          <w:ilvl w:val="0"/>
          <w:numId w:val="44"/>
        </w:numPr>
        <w:jc w:val="both"/>
        <w:rPr>
          <w:rFonts w:ascii="Helvetica" w:eastAsia="Times New Roman" w:hAnsi="Helvetica" w:cs="Helvetica"/>
          <w:color w:val="000000"/>
          <w:sz w:val="20"/>
          <w:szCs w:val="20"/>
          <w:lang w:eastAsia="fr-FR"/>
        </w:rPr>
      </w:pPr>
      <w:r w:rsidRPr="000D4DE0">
        <w:rPr>
          <w:rFonts w:ascii="Helvetica" w:eastAsia="Times New Roman" w:hAnsi="Helvetica" w:cs="Helvetica"/>
          <w:color w:val="000000"/>
          <w:sz w:val="20"/>
          <w:szCs w:val="20"/>
          <w:lang w:eastAsia="fr-FR"/>
        </w:rPr>
        <w:t>Réception de l’exemplaire depuis la LBC</w:t>
      </w:r>
    </w:p>
    <w:p w14:paraId="223139FA"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La page « </w:t>
      </w:r>
      <w:proofErr w:type="spellStart"/>
      <w:r>
        <w:rPr>
          <w:rFonts w:ascii="Helvetica" w:eastAsia="Times New Roman" w:hAnsi="Helvetica" w:cs="Helvetica"/>
          <w:color w:val="000000"/>
          <w:sz w:val="20"/>
          <w:szCs w:val="20"/>
          <w:lang w:eastAsia="fr-FR"/>
        </w:rPr>
        <w:t>reception</w:t>
      </w:r>
      <w:proofErr w:type="spellEnd"/>
      <w:r>
        <w:rPr>
          <w:rFonts w:ascii="Helvetica" w:eastAsia="Times New Roman" w:hAnsi="Helvetica" w:cs="Helvetica"/>
          <w:color w:val="000000"/>
          <w:sz w:val="20"/>
          <w:szCs w:val="20"/>
          <w:lang w:eastAsia="fr-FR"/>
        </w:rPr>
        <w:t> » sera toujours accessible depuis le menu Acquisition mais il sera également possible de réceptionner un exemplaire directement depuis la ligne de commande.</w:t>
      </w:r>
    </w:p>
    <w:p w14:paraId="5589EB0F"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Dans la section « </w:t>
      </w:r>
      <w:proofErr w:type="spellStart"/>
      <w:r>
        <w:rPr>
          <w:rFonts w:ascii="Helvetica" w:eastAsia="Times New Roman" w:hAnsi="Helvetica" w:cs="Helvetica"/>
          <w:color w:val="000000"/>
          <w:sz w:val="20"/>
          <w:szCs w:val="20"/>
          <w:lang w:eastAsia="fr-FR"/>
        </w:rPr>
        <w:t>ordered</w:t>
      </w:r>
      <w:proofErr w:type="spellEnd"/>
      <w:r>
        <w:rPr>
          <w:rFonts w:ascii="Helvetica" w:eastAsia="Times New Roman" w:hAnsi="Helvetica" w:cs="Helvetica"/>
          <w:color w:val="000000"/>
          <w:sz w:val="20"/>
          <w:szCs w:val="20"/>
          <w:lang w:eastAsia="fr-FR"/>
        </w:rPr>
        <w:t xml:space="preserve"> items » de l’éditeur de la ligne de commande, un bouton</w:t>
      </w:r>
      <w:proofErr w:type="gramStart"/>
      <w:r>
        <w:rPr>
          <w:rFonts w:ascii="Helvetica" w:eastAsia="Times New Roman" w:hAnsi="Helvetica" w:cs="Helvetica"/>
          <w:color w:val="000000"/>
          <w:sz w:val="20"/>
          <w:szCs w:val="20"/>
          <w:lang w:eastAsia="fr-FR"/>
        </w:rPr>
        <w:t xml:space="preserve"> «</w:t>
      </w:r>
      <w:proofErr w:type="spellStart"/>
      <w:r>
        <w:rPr>
          <w:rFonts w:ascii="Helvetica" w:eastAsia="Times New Roman" w:hAnsi="Helvetica" w:cs="Helvetica"/>
          <w:color w:val="000000"/>
          <w:sz w:val="20"/>
          <w:szCs w:val="20"/>
          <w:lang w:eastAsia="fr-FR"/>
        </w:rPr>
        <w:t>receive</w:t>
      </w:r>
      <w:proofErr w:type="spellEnd"/>
      <w:proofErr w:type="gramEnd"/>
      <w:r>
        <w:rPr>
          <w:rFonts w:ascii="Helvetica" w:eastAsia="Times New Roman" w:hAnsi="Helvetica" w:cs="Helvetica"/>
          <w:color w:val="000000"/>
          <w:sz w:val="20"/>
          <w:szCs w:val="20"/>
          <w:lang w:eastAsia="fr-FR"/>
        </w:rPr>
        <w:t> » est accessible et permet de procéder à la réception de l’exemplaire.</w:t>
      </w:r>
    </w:p>
    <w:p w14:paraId="270B83FB"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La réception ne peut se faire qu’exemplaire après exemplaire (si par exemple, il y en a plusieurs sous la même LB) et il faut être localisé sous un département des acquisitions pour faire cette action ou sous un bureau de prêt qui prend en charge les acquisitions.</w:t>
      </w:r>
    </w:p>
    <w:p w14:paraId="7FD2EC60" w14:textId="77777777" w:rsidR="007C4987" w:rsidRDefault="007C4987" w:rsidP="007C4987">
      <w:pPr>
        <w:jc w:val="both"/>
        <w:rPr>
          <w:rFonts w:ascii="Helvetica" w:eastAsia="Times New Roman" w:hAnsi="Helvetica" w:cs="Helvetica"/>
          <w:color w:val="000000"/>
          <w:sz w:val="20"/>
          <w:szCs w:val="20"/>
          <w:lang w:eastAsia="fr-FR"/>
        </w:rPr>
      </w:pPr>
      <w:r w:rsidRPr="00AE4D01">
        <w:rPr>
          <w:noProof/>
          <w:lang w:eastAsia="fr-FR"/>
        </w:rPr>
        <w:drawing>
          <wp:inline distT="0" distB="0" distL="0" distR="0" wp14:anchorId="0FE3A3F1" wp14:editId="2B1520C1">
            <wp:extent cx="5760720" cy="23996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399665"/>
                    </a:xfrm>
                    <a:prstGeom prst="rect">
                      <a:avLst/>
                    </a:prstGeom>
                  </pic:spPr>
                </pic:pic>
              </a:graphicData>
            </a:graphic>
          </wp:inline>
        </w:drawing>
      </w:r>
    </w:p>
    <w:p w14:paraId="59C327EB" w14:textId="77777777" w:rsidR="007C4987" w:rsidRDefault="007C4987" w:rsidP="007C4987">
      <w:pPr>
        <w:jc w:val="both"/>
        <w:rPr>
          <w:rFonts w:ascii="Helvetica" w:eastAsia="Times New Roman" w:hAnsi="Helvetica" w:cs="Helvetica"/>
          <w:color w:val="000000"/>
          <w:sz w:val="20"/>
          <w:szCs w:val="20"/>
          <w:lang w:eastAsia="fr-FR"/>
        </w:rPr>
      </w:pPr>
    </w:p>
    <w:p w14:paraId="2EDF44C1" w14:textId="77777777" w:rsidR="007C4987" w:rsidRPr="000D4DE0" w:rsidRDefault="007C4987" w:rsidP="007C4987">
      <w:pPr>
        <w:jc w:val="both"/>
        <w:rPr>
          <w:rFonts w:ascii="Helvetica" w:eastAsia="Times New Roman" w:hAnsi="Helvetica" w:cs="Helvetica"/>
          <w:color w:val="000000"/>
          <w:sz w:val="20"/>
          <w:szCs w:val="20"/>
          <w:u w:val="single"/>
          <w:lang w:eastAsia="fr-FR"/>
        </w:rPr>
      </w:pPr>
      <w:r w:rsidRPr="000D4DE0">
        <w:rPr>
          <w:rFonts w:ascii="Helvetica" w:eastAsia="Times New Roman" w:hAnsi="Helvetica" w:cs="Helvetica"/>
          <w:color w:val="000000"/>
          <w:sz w:val="20"/>
          <w:szCs w:val="20"/>
          <w:u w:val="single"/>
          <w:lang w:eastAsia="fr-FR"/>
        </w:rPr>
        <w:t>Page de réception</w:t>
      </w:r>
    </w:p>
    <w:p w14:paraId="465D668C" w14:textId="77777777" w:rsidR="007C4987" w:rsidRDefault="007C4987" w:rsidP="007C4987">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Il est également prévu que la page « réception » soit modifiée (fin de l’année 2023) pour obtenir le nouveau mode de présentation des données qui sera commun à toutes les pages dans Alma.</w:t>
      </w:r>
    </w:p>
    <w:p w14:paraId="0833D8D0" w14:textId="77777777" w:rsidR="007C4987" w:rsidRPr="002558FA" w:rsidRDefault="007C4987" w:rsidP="007C4987">
      <w:pPr>
        <w:jc w:val="both"/>
        <w:rPr>
          <w:rFonts w:ascii="Helvetica" w:eastAsia="Times New Roman" w:hAnsi="Helvetica" w:cs="Helvetica"/>
          <w:color w:val="000000"/>
          <w:sz w:val="20"/>
          <w:szCs w:val="20"/>
          <w:lang w:eastAsia="fr-FR"/>
        </w:rPr>
      </w:pPr>
      <w:r w:rsidRPr="00B653E4">
        <w:rPr>
          <w:noProof/>
          <w:lang w:eastAsia="fr-FR"/>
        </w:rPr>
        <w:drawing>
          <wp:inline distT="0" distB="0" distL="0" distR="0" wp14:anchorId="64965B89" wp14:editId="77428549">
            <wp:extent cx="5760720" cy="314261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142615"/>
                    </a:xfrm>
                    <a:prstGeom prst="rect">
                      <a:avLst/>
                    </a:prstGeom>
                  </pic:spPr>
                </pic:pic>
              </a:graphicData>
            </a:graphic>
          </wp:inline>
        </w:drawing>
      </w:r>
    </w:p>
    <w:p w14:paraId="7A583B69" w14:textId="77777777" w:rsidR="007C4987" w:rsidRPr="00931E52" w:rsidRDefault="007C4987" w:rsidP="00380E55">
      <w:pPr>
        <w:jc w:val="both"/>
        <w:rPr>
          <w:rFonts w:ascii="Helvetica" w:eastAsiaTheme="majorEastAsia" w:hAnsi="Helvetica" w:cstheme="majorBidi"/>
          <w:sz w:val="20"/>
          <w:szCs w:val="20"/>
        </w:rPr>
      </w:pPr>
    </w:p>
    <w:sectPr w:rsidR="007C4987" w:rsidRPr="00931E52">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C58FF" w14:textId="77777777" w:rsidR="008663B9" w:rsidRDefault="008663B9" w:rsidP="0000222F">
      <w:pPr>
        <w:spacing w:after="0" w:line="240" w:lineRule="auto"/>
      </w:pPr>
      <w:r>
        <w:separator/>
      </w:r>
    </w:p>
  </w:endnote>
  <w:endnote w:type="continuationSeparator" w:id="0">
    <w:p w14:paraId="7A8C2029" w14:textId="77777777" w:rsidR="008663B9" w:rsidRDefault="008663B9"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14:paraId="65BB0FCF" w14:textId="35BFC096" w:rsidR="001D43EA" w:rsidRDefault="001D43EA">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3A492E">
          <w:rPr>
            <w:rFonts w:ascii="Constantia" w:hAnsi="Constantia"/>
            <w:noProof/>
            <w:sz w:val="24"/>
          </w:rPr>
          <w:t>13</w:t>
        </w:r>
        <w:r w:rsidRPr="004B003B">
          <w:rPr>
            <w:rFonts w:ascii="Constantia" w:hAnsi="Constantia"/>
            <w:sz w:val="24"/>
          </w:rPr>
          <w:fldChar w:fldCharType="end"/>
        </w:r>
      </w:p>
    </w:sdtContent>
  </w:sdt>
  <w:p w14:paraId="545A5A6E" w14:textId="77777777" w:rsidR="001D43EA" w:rsidRPr="0000222F" w:rsidRDefault="001D43EA">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F8398" w14:textId="77777777" w:rsidR="008663B9" w:rsidRDefault="008663B9" w:rsidP="0000222F">
      <w:pPr>
        <w:spacing w:after="0" w:line="240" w:lineRule="auto"/>
      </w:pPr>
      <w:r>
        <w:separator/>
      </w:r>
    </w:p>
  </w:footnote>
  <w:footnote w:type="continuationSeparator" w:id="0">
    <w:p w14:paraId="2608F954" w14:textId="77777777" w:rsidR="008663B9" w:rsidRDefault="008663B9"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0BC2" w14:textId="69BD12DC" w:rsidR="001D43EA" w:rsidRDefault="001D43EA">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645803273"/>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334C10">
          <w:rPr>
            <w:rFonts w:ascii="Constantia" w:hAnsi="Constantia"/>
            <w:color w:val="000000" w:themeColor="text1"/>
            <w:sz w:val="20"/>
            <w:szCs w:val="20"/>
          </w:rPr>
          <w:t>Note de version Alma – 4e trimestre 2022</w:t>
        </w:r>
      </w:sdtContent>
    </w:sdt>
  </w:p>
  <w:p w14:paraId="09C2C149" w14:textId="77777777" w:rsidR="001D43EA" w:rsidRDefault="001D43E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275F"/>
    <w:multiLevelType w:val="hybridMultilevel"/>
    <w:tmpl w:val="283291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658CE"/>
    <w:multiLevelType w:val="hybridMultilevel"/>
    <w:tmpl w:val="EE4A0C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652AB4"/>
    <w:multiLevelType w:val="hybridMultilevel"/>
    <w:tmpl w:val="F0F80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B495F"/>
    <w:multiLevelType w:val="hybridMultilevel"/>
    <w:tmpl w:val="201E9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CE508F"/>
    <w:multiLevelType w:val="hybridMultilevel"/>
    <w:tmpl w:val="93A23BE4"/>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15:restartNumberingAfterBreak="0">
    <w:nsid w:val="088057F1"/>
    <w:multiLevelType w:val="hybridMultilevel"/>
    <w:tmpl w:val="105AB5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D70EA4"/>
    <w:multiLevelType w:val="hybridMultilevel"/>
    <w:tmpl w:val="AF446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410265"/>
    <w:multiLevelType w:val="hybridMultilevel"/>
    <w:tmpl w:val="34CE2C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627455"/>
    <w:multiLevelType w:val="hybridMultilevel"/>
    <w:tmpl w:val="075E1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506166"/>
    <w:multiLevelType w:val="multilevel"/>
    <w:tmpl w:val="ABF09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CD6B0E"/>
    <w:multiLevelType w:val="hybridMultilevel"/>
    <w:tmpl w:val="8A20847A"/>
    <w:lvl w:ilvl="0" w:tplc="040C0005">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1" w15:restartNumberingAfterBreak="0">
    <w:nsid w:val="177D5A69"/>
    <w:multiLevelType w:val="hybridMultilevel"/>
    <w:tmpl w:val="700034E6"/>
    <w:lvl w:ilvl="0" w:tplc="27286C62">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6F7037"/>
    <w:multiLevelType w:val="hybridMultilevel"/>
    <w:tmpl w:val="52E446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A33AC3"/>
    <w:multiLevelType w:val="hybridMultilevel"/>
    <w:tmpl w:val="FE8858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8C2F8B"/>
    <w:multiLevelType w:val="hybridMultilevel"/>
    <w:tmpl w:val="B43A8D2A"/>
    <w:lvl w:ilvl="0" w:tplc="040C0005">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5" w15:restartNumberingAfterBreak="0">
    <w:nsid w:val="1E6C3C6D"/>
    <w:multiLevelType w:val="hybridMultilevel"/>
    <w:tmpl w:val="D5F0022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973FCD"/>
    <w:multiLevelType w:val="hybridMultilevel"/>
    <w:tmpl w:val="96CA59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C5365E"/>
    <w:multiLevelType w:val="multilevel"/>
    <w:tmpl w:val="CD7A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1E0A77"/>
    <w:multiLevelType w:val="hybridMultilevel"/>
    <w:tmpl w:val="3556A50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36297E02"/>
    <w:multiLevelType w:val="hybridMultilevel"/>
    <w:tmpl w:val="C64E3D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986985"/>
    <w:multiLevelType w:val="hybridMultilevel"/>
    <w:tmpl w:val="9E86F3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83196F"/>
    <w:multiLevelType w:val="hybridMultilevel"/>
    <w:tmpl w:val="F3127D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3F2291"/>
    <w:multiLevelType w:val="hybridMultilevel"/>
    <w:tmpl w:val="923EF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E37172"/>
    <w:multiLevelType w:val="hybridMultilevel"/>
    <w:tmpl w:val="CDBAD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882763"/>
    <w:multiLevelType w:val="hybridMultilevel"/>
    <w:tmpl w:val="8C0E8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346E07"/>
    <w:multiLevelType w:val="hybridMultilevel"/>
    <w:tmpl w:val="C3E488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525CC4"/>
    <w:multiLevelType w:val="hybridMultilevel"/>
    <w:tmpl w:val="31F043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89111D"/>
    <w:multiLevelType w:val="hybridMultilevel"/>
    <w:tmpl w:val="F8B8483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39B4A95"/>
    <w:multiLevelType w:val="hybridMultilevel"/>
    <w:tmpl w:val="DAD83E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A53BE5"/>
    <w:multiLevelType w:val="hybridMultilevel"/>
    <w:tmpl w:val="040816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8C1507D"/>
    <w:multiLevelType w:val="hybridMultilevel"/>
    <w:tmpl w:val="D04209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F22131"/>
    <w:multiLevelType w:val="hybridMultilevel"/>
    <w:tmpl w:val="388A51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33801"/>
    <w:multiLevelType w:val="hybridMultilevel"/>
    <w:tmpl w:val="9E38588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4E350C7F"/>
    <w:multiLevelType w:val="hybridMultilevel"/>
    <w:tmpl w:val="3D7A04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E9852CB"/>
    <w:multiLevelType w:val="hybridMultilevel"/>
    <w:tmpl w:val="1374A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513119A"/>
    <w:multiLevelType w:val="hybridMultilevel"/>
    <w:tmpl w:val="F7FAD108"/>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6" w15:restartNumberingAfterBreak="0">
    <w:nsid w:val="594D38A2"/>
    <w:multiLevelType w:val="hybridMultilevel"/>
    <w:tmpl w:val="B172FF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A26BB3"/>
    <w:multiLevelType w:val="hybridMultilevel"/>
    <w:tmpl w:val="16E225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8A38C7"/>
    <w:multiLevelType w:val="hybridMultilevel"/>
    <w:tmpl w:val="D2A6A512"/>
    <w:lvl w:ilvl="0" w:tplc="419EB20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9" w15:restartNumberingAfterBreak="0">
    <w:nsid w:val="67091BC3"/>
    <w:multiLevelType w:val="multilevel"/>
    <w:tmpl w:val="9D3C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2F321D"/>
    <w:multiLevelType w:val="hybridMultilevel"/>
    <w:tmpl w:val="5F56EA80"/>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1" w15:restartNumberingAfterBreak="0">
    <w:nsid w:val="718256D1"/>
    <w:multiLevelType w:val="hybridMultilevel"/>
    <w:tmpl w:val="97B6C8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FE2B39"/>
    <w:multiLevelType w:val="hybridMultilevel"/>
    <w:tmpl w:val="26EE0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1A379D"/>
    <w:multiLevelType w:val="hybridMultilevel"/>
    <w:tmpl w:val="5036B1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42"/>
  </w:num>
  <w:num w:numId="4">
    <w:abstractNumId w:val="0"/>
  </w:num>
  <w:num w:numId="5">
    <w:abstractNumId w:val="33"/>
  </w:num>
  <w:num w:numId="6">
    <w:abstractNumId w:val="16"/>
  </w:num>
  <w:num w:numId="7">
    <w:abstractNumId w:val="12"/>
  </w:num>
  <w:num w:numId="8">
    <w:abstractNumId w:val="35"/>
  </w:num>
  <w:num w:numId="9">
    <w:abstractNumId w:val="38"/>
  </w:num>
  <w:num w:numId="10">
    <w:abstractNumId w:val="39"/>
  </w:num>
  <w:num w:numId="11">
    <w:abstractNumId w:val="17"/>
  </w:num>
  <w:num w:numId="12">
    <w:abstractNumId w:val="9"/>
  </w:num>
  <w:num w:numId="13">
    <w:abstractNumId w:val="28"/>
  </w:num>
  <w:num w:numId="14">
    <w:abstractNumId w:val="26"/>
  </w:num>
  <w:num w:numId="15">
    <w:abstractNumId w:val="7"/>
  </w:num>
  <w:num w:numId="16">
    <w:abstractNumId w:val="2"/>
  </w:num>
  <w:num w:numId="17">
    <w:abstractNumId w:val="15"/>
  </w:num>
  <w:num w:numId="18">
    <w:abstractNumId w:val="18"/>
  </w:num>
  <w:num w:numId="19">
    <w:abstractNumId w:val="3"/>
  </w:num>
  <w:num w:numId="20">
    <w:abstractNumId w:val="22"/>
  </w:num>
  <w:num w:numId="21">
    <w:abstractNumId w:val="32"/>
  </w:num>
  <w:num w:numId="22">
    <w:abstractNumId w:val="27"/>
  </w:num>
  <w:num w:numId="23">
    <w:abstractNumId w:val="30"/>
  </w:num>
  <w:num w:numId="24">
    <w:abstractNumId w:val="34"/>
  </w:num>
  <w:num w:numId="25">
    <w:abstractNumId w:val="24"/>
  </w:num>
  <w:num w:numId="26">
    <w:abstractNumId w:val="23"/>
  </w:num>
  <w:num w:numId="27">
    <w:abstractNumId w:val="4"/>
  </w:num>
  <w:num w:numId="28">
    <w:abstractNumId w:val="1"/>
  </w:num>
  <w:num w:numId="29">
    <w:abstractNumId w:val="43"/>
  </w:num>
  <w:num w:numId="30">
    <w:abstractNumId w:val="40"/>
  </w:num>
  <w:num w:numId="31">
    <w:abstractNumId w:val="13"/>
  </w:num>
  <w:num w:numId="32">
    <w:abstractNumId w:val="41"/>
  </w:num>
  <w:num w:numId="33">
    <w:abstractNumId w:val="36"/>
  </w:num>
  <w:num w:numId="34">
    <w:abstractNumId w:val="21"/>
  </w:num>
  <w:num w:numId="35">
    <w:abstractNumId w:val="19"/>
  </w:num>
  <w:num w:numId="36">
    <w:abstractNumId w:val="11"/>
  </w:num>
  <w:num w:numId="37">
    <w:abstractNumId w:val="31"/>
  </w:num>
  <w:num w:numId="38">
    <w:abstractNumId w:val="14"/>
  </w:num>
  <w:num w:numId="39">
    <w:abstractNumId w:val="20"/>
  </w:num>
  <w:num w:numId="40">
    <w:abstractNumId w:val="6"/>
  </w:num>
  <w:num w:numId="41">
    <w:abstractNumId w:val="29"/>
  </w:num>
  <w:num w:numId="42">
    <w:abstractNumId w:val="25"/>
  </w:num>
  <w:num w:numId="43">
    <w:abstractNumId w:val="5"/>
  </w:num>
  <w:num w:numId="44">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2910"/>
    <w:rsid w:val="00005002"/>
    <w:rsid w:val="00012B9E"/>
    <w:rsid w:val="00014F96"/>
    <w:rsid w:val="00017DB4"/>
    <w:rsid w:val="00024F2F"/>
    <w:rsid w:val="00025E7E"/>
    <w:rsid w:val="000260C2"/>
    <w:rsid w:val="0002716A"/>
    <w:rsid w:val="0003110F"/>
    <w:rsid w:val="0003678A"/>
    <w:rsid w:val="00036CBD"/>
    <w:rsid w:val="000401DE"/>
    <w:rsid w:val="00041564"/>
    <w:rsid w:val="000511AD"/>
    <w:rsid w:val="00052D3E"/>
    <w:rsid w:val="00057336"/>
    <w:rsid w:val="000607C8"/>
    <w:rsid w:val="00062C53"/>
    <w:rsid w:val="000672A2"/>
    <w:rsid w:val="000736F5"/>
    <w:rsid w:val="00073CD9"/>
    <w:rsid w:val="00073E8F"/>
    <w:rsid w:val="0007473D"/>
    <w:rsid w:val="000873D3"/>
    <w:rsid w:val="00090297"/>
    <w:rsid w:val="00090B99"/>
    <w:rsid w:val="000C1C2D"/>
    <w:rsid w:val="000C59D6"/>
    <w:rsid w:val="000D3C15"/>
    <w:rsid w:val="000D65EB"/>
    <w:rsid w:val="000D6D4E"/>
    <w:rsid w:val="000D6DDE"/>
    <w:rsid w:val="000E47BE"/>
    <w:rsid w:val="000E6664"/>
    <w:rsid w:val="000F01AA"/>
    <w:rsid w:val="000F1B6C"/>
    <w:rsid w:val="000F3190"/>
    <w:rsid w:val="000F613D"/>
    <w:rsid w:val="000F747B"/>
    <w:rsid w:val="000F7D61"/>
    <w:rsid w:val="00102B8A"/>
    <w:rsid w:val="0010405D"/>
    <w:rsid w:val="0010457B"/>
    <w:rsid w:val="00105490"/>
    <w:rsid w:val="0010575D"/>
    <w:rsid w:val="00111459"/>
    <w:rsid w:val="00112A0B"/>
    <w:rsid w:val="00117E9B"/>
    <w:rsid w:val="001201B4"/>
    <w:rsid w:val="00132CF4"/>
    <w:rsid w:val="001363FA"/>
    <w:rsid w:val="00136AAE"/>
    <w:rsid w:val="001419AC"/>
    <w:rsid w:val="00145FE2"/>
    <w:rsid w:val="001470CD"/>
    <w:rsid w:val="001650B2"/>
    <w:rsid w:val="001675A7"/>
    <w:rsid w:val="001701A0"/>
    <w:rsid w:val="00172A1B"/>
    <w:rsid w:val="00181D92"/>
    <w:rsid w:val="001833FA"/>
    <w:rsid w:val="001939F8"/>
    <w:rsid w:val="001A1BD8"/>
    <w:rsid w:val="001A4E59"/>
    <w:rsid w:val="001B017C"/>
    <w:rsid w:val="001B18ED"/>
    <w:rsid w:val="001B1DC2"/>
    <w:rsid w:val="001B29BE"/>
    <w:rsid w:val="001B4CAC"/>
    <w:rsid w:val="001C53F4"/>
    <w:rsid w:val="001C78C1"/>
    <w:rsid w:val="001D43EA"/>
    <w:rsid w:val="001D4763"/>
    <w:rsid w:val="001D5E23"/>
    <w:rsid w:val="001E03D0"/>
    <w:rsid w:val="001E3A89"/>
    <w:rsid w:val="001F1BC0"/>
    <w:rsid w:val="0020526F"/>
    <w:rsid w:val="002118A1"/>
    <w:rsid w:val="00214F93"/>
    <w:rsid w:val="00214FC2"/>
    <w:rsid w:val="00220539"/>
    <w:rsid w:val="00261FDF"/>
    <w:rsid w:val="00262B13"/>
    <w:rsid w:val="00270474"/>
    <w:rsid w:val="00272361"/>
    <w:rsid w:val="002725CC"/>
    <w:rsid w:val="00274673"/>
    <w:rsid w:val="00275004"/>
    <w:rsid w:val="00281C2E"/>
    <w:rsid w:val="00282501"/>
    <w:rsid w:val="00285875"/>
    <w:rsid w:val="0028724A"/>
    <w:rsid w:val="00291304"/>
    <w:rsid w:val="00293FEB"/>
    <w:rsid w:val="0029509B"/>
    <w:rsid w:val="002953BF"/>
    <w:rsid w:val="002A2F7D"/>
    <w:rsid w:val="002A4294"/>
    <w:rsid w:val="002A70D3"/>
    <w:rsid w:val="002A7A9B"/>
    <w:rsid w:val="002C314B"/>
    <w:rsid w:val="002C4D55"/>
    <w:rsid w:val="002D079A"/>
    <w:rsid w:val="002D1584"/>
    <w:rsid w:val="002D6917"/>
    <w:rsid w:val="002D78F0"/>
    <w:rsid w:val="002D7AE5"/>
    <w:rsid w:val="002F1327"/>
    <w:rsid w:val="002F7152"/>
    <w:rsid w:val="002F7B16"/>
    <w:rsid w:val="0030256E"/>
    <w:rsid w:val="00307570"/>
    <w:rsid w:val="00307E00"/>
    <w:rsid w:val="00311A0C"/>
    <w:rsid w:val="00312B5C"/>
    <w:rsid w:val="00314C37"/>
    <w:rsid w:val="00321A9A"/>
    <w:rsid w:val="003224A7"/>
    <w:rsid w:val="0032429A"/>
    <w:rsid w:val="003251D8"/>
    <w:rsid w:val="00326913"/>
    <w:rsid w:val="00333CEB"/>
    <w:rsid w:val="00334C10"/>
    <w:rsid w:val="00335428"/>
    <w:rsid w:val="00335C64"/>
    <w:rsid w:val="00336233"/>
    <w:rsid w:val="00346FE3"/>
    <w:rsid w:val="003474A7"/>
    <w:rsid w:val="00347DAF"/>
    <w:rsid w:val="0035454E"/>
    <w:rsid w:val="00355D48"/>
    <w:rsid w:val="00361902"/>
    <w:rsid w:val="00364FCC"/>
    <w:rsid w:val="0036628B"/>
    <w:rsid w:val="00374606"/>
    <w:rsid w:val="00380E55"/>
    <w:rsid w:val="00384C81"/>
    <w:rsid w:val="0038565A"/>
    <w:rsid w:val="00386DFF"/>
    <w:rsid w:val="003A0D01"/>
    <w:rsid w:val="003A492E"/>
    <w:rsid w:val="003A762F"/>
    <w:rsid w:val="003A7E2C"/>
    <w:rsid w:val="003B040C"/>
    <w:rsid w:val="003B2431"/>
    <w:rsid w:val="003C33C9"/>
    <w:rsid w:val="003C7825"/>
    <w:rsid w:val="003D3BED"/>
    <w:rsid w:val="003E09B8"/>
    <w:rsid w:val="003E1E4A"/>
    <w:rsid w:val="003E38D0"/>
    <w:rsid w:val="003E5228"/>
    <w:rsid w:val="003E5F2E"/>
    <w:rsid w:val="003E611C"/>
    <w:rsid w:val="003F21FE"/>
    <w:rsid w:val="003F402B"/>
    <w:rsid w:val="003F4F09"/>
    <w:rsid w:val="00400120"/>
    <w:rsid w:val="00407073"/>
    <w:rsid w:val="00415DFF"/>
    <w:rsid w:val="004206D0"/>
    <w:rsid w:val="004210AF"/>
    <w:rsid w:val="00441B1F"/>
    <w:rsid w:val="00443F9F"/>
    <w:rsid w:val="00454796"/>
    <w:rsid w:val="0045601C"/>
    <w:rsid w:val="0045770F"/>
    <w:rsid w:val="0045797F"/>
    <w:rsid w:val="004664C3"/>
    <w:rsid w:val="00466F96"/>
    <w:rsid w:val="004673BE"/>
    <w:rsid w:val="004679EA"/>
    <w:rsid w:val="0047260A"/>
    <w:rsid w:val="00474B3A"/>
    <w:rsid w:val="004764E5"/>
    <w:rsid w:val="00481AA2"/>
    <w:rsid w:val="00481E05"/>
    <w:rsid w:val="00484B5D"/>
    <w:rsid w:val="0048554F"/>
    <w:rsid w:val="00486028"/>
    <w:rsid w:val="00486537"/>
    <w:rsid w:val="004902A6"/>
    <w:rsid w:val="00491A58"/>
    <w:rsid w:val="00491C52"/>
    <w:rsid w:val="00494A30"/>
    <w:rsid w:val="00495EEC"/>
    <w:rsid w:val="004A5011"/>
    <w:rsid w:val="004A67C3"/>
    <w:rsid w:val="004A6BC9"/>
    <w:rsid w:val="004A748C"/>
    <w:rsid w:val="004A76EE"/>
    <w:rsid w:val="004A7E19"/>
    <w:rsid w:val="004A7E7A"/>
    <w:rsid w:val="004B003B"/>
    <w:rsid w:val="004B0965"/>
    <w:rsid w:val="004B1A3A"/>
    <w:rsid w:val="004B3749"/>
    <w:rsid w:val="004B5E2C"/>
    <w:rsid w:val="004C0333"/>
    <w:rsid w:val="004D0282"/>
    <w:rsid w:val="004D0D7E"/>
    <w:rsid w:val="004D7798"/>
    <w:rsid w:val="004E50F5"/>
    <w:rsid w:val="004E6CAC"/>
    <w:rsid w:val="004E78BB"/>
    <w:rsid w:val="005007A3"/>
    <w:rsid w:val="00510976"/>
    <w:rsid w:val="005214E6"/>
    <w:rsid w:val="00524A5D"/>
    <w:rsid w:val="00535A67"/>
    <w:rsid w:val="005370F4"/>
    <w:rsid w:val="0054008B"/>
    <w:rsid w:val="00540F8B"/>
    <w:rsid w:val="00541138"/>
    <w:rsid w:val="0054672F"/>
    <w:rsid w:val="00550E1E"/>
    <w:rsid w:val="0055368B"/>
    <w:rsid w:val="00554029"/>
    <w:rsid w:val="00554259"/>
    <w:rsid w:val="005549C4"/>
    <w:rsid w:val="005656F2"/>
    <w:rsid w:val="005677A0"/>
    <w:rsid w:val="005772B3"/>
    <w:rsid w:val="00583BDD"/>
    <w:rsid w:val="00585D27"/>
    <w:rsid w:val="0059691F"/>
    <w:rsid w:val="00597121"/>
    <w:rsid w:val="005A408F"/>
    <w:rsid w:val="005A4119"/>
    <w:rsid w:val="005A6CA4"/>
    <w:rsid w:val="005B6944"/>
    <w:rsid w:val="005B6C9E"/>
    <w:rsid w:val="005C0361"/>
    <w:rsid w:val="005C2C1F"/>
    <w:rsid w:val="005C39E7"/>
    <w:rsid w:val="005D2440"/>
    <w:rsid w:val="005D3BFC"/>
    <w:rsid w:val="005D75FA"/>
    <w:rsid w:val="005E088C"/>
    <w:rsid w:val="005E08E8"/>
    <w:rsid w:val="005E4B7B"/>
    <w:rsid w:val="005E6A4B"/>
    <w:rsid w:val="005E6DCD"/>
    <w:rsid w:val="005E7730"/>
    <w:rsid w:val="005F0434"/>
    <w:rsid w:val="005F052D"/>
    <w:rsid w:val="005F7576"/>
    <w:rsid w:val="00611D97"/>
    <w:rsid w:val="006148A9"/>
    <w:rsid w:val="0062684E"/>
    <w:rsid w:val="006363E2"/>
    <w:rsid w:val="00636B65"/>
    <w:rsid w:val="00640F75"/>
    <w:rsid w:val="00645A3A"/>
    <w:rsid w:val="00657179"/>
    <w:rsid w:val="00673DE6"/>
    <w:rsid w:val="0068052A"/>
    <w:rsid w:val="00681DFC"/>
    <w:rsid w:val="00682C02"/>
    <w:rsid w:val="0068354E"/>
    <w:rsid w:val="00690699"/>
    <w:rsid w:val="00691FD6"/>
    <w:rsid w:val="00695161"/>
    <w:rsid w:val="00695988"/>
    <w:rsid w:val="006A13D4"/>
    <w:rsid w:val="006B38F8"/>
    <w:rsid w:val="006B3C74"/>
    <w:rsid w:val="006B7860"/>
    <w:rsid w:val="006C1C8C"/>
    <w:rsid w:val="006C3D7A"/>
    <w:rsid w:val="006C519D"/>
    <w:rsid w:val="006C5B78"/>
    <w:rsid w:val="006D416A"/>
    <w:rsid w:val="006D7560"/>
    <w:rsid w:val="006D7BE6"/>
    <w:rsid w:val="006E29FF"/>
    <w:rsid w:val="006E5ED7"/>
    <w:rsid w:val="006E6104"/>
    <w:rsid w:val="006F00A5"/>
    <w:rsid w:val="006F2BF9"/>
    <w:rsid w:val="006F79D3"/>
    <w:rsid w:val="00703D19"/>
    <w:rsid w:val="00707575"/>
    <w:rsid w:val="00710D3F"/>
    <w:rsid w:val="00721FB1"/>
    <w:rsid w:val="00722E33"/>
    <w:rsid w:val="007263D7"/>
    <w:rsid w:val="00732813"/>
    <w:rsid w:val="00735E5C"/>
    <w:rsid w:val="00735F64"/>
    <w:rsid w:val="00737F51"/>
    <w:rsid w:val="007423BA"/>
    <w:rsid w:val="00744D74"/>
    <w:rsid w:val="00745935"/>
    <w:rsid w:val="0075266E"/>
    <w:rsid w:val="00754F77"/>
    <w:rsid w:val="00761709"/>
    <w:rsid w:val="00763E4A"/>
    <w:rsid w:val="007660F5"/>
    <w:rsid w:val="0076624E"/>
    <w:rsid w:val="00775133"/>
    <w:rsid w:val="00784A00"/>
    <w:rsid w:val="00791893"/>
    <w:rsid w:val="007952AB"/>
    <w:rsid w:val="00795308"/>
    <w:rsid w:val="007A586E"/>
    <w:rsid w:val="007A5C14"/>
    <w:rsid w:val="007B37AE"/>
    <w:rsid w:val="007B4945"/>
    <w:rsid w:val="007B5EF5"/>
    <w:rsid w:val="007C1117"/>
    <w:rsid w:val="007C474D"/>
    <w:rsid w:val="007C4987"/>
    <w:rsid w:val="007E08ED"/>
    <w:rsid w:val="007E5964"/>
    <w:rsid w:val="007E6A1D"/>
    <w:rsid w:val="007E723C"/>
    <w:rsid w:val="007F17CB"/>
    <w:rsid w:val="007F1B48"/>
    <w:rsid w:val="00802C71"/>
    <w:rsid w:val="00804C13"/>
    <w:rsid w:val="00805200"/>
    <w:rsid w:val="008069AF"/>
    <w:rsid w:val="008071FD"/>
    <w:rsid w:val="00810752"/>
    <w:rsid w:val="00811BC1"/>
    <w:rsid w:val="00813BFE"/>
    <w:rsid w:val="00817870"/>
    <w:rsid w:val="00817E7F"/>
    <w:rsid w:val="00821296"/>
    <w:rsid w:val="0082353A"/>
    <w:rsid w:val="00823EBC"/>
    <w:rsid w:val="008262BD"/>
    <w:rsid w:val="008275DC"/>
    <w:rsid w:val="00830066"/>
    <w:rsid w:val="0083132C"/>
    <w:rsid w:val="00831723"/>
    <w:rsid w:val="008358D1"/>
    <w:rsid w:val="00837E79"/>
    <w:rsid w:val="00845B33"/>
    <w:rsid w:val="00852F4F"/>
    <w:rsid w:val="00854DA3"/>
    <w:rsid w:val="00860D89"/>
    <w:rsid w:val="00861AD0"/>
    <w:rsid w:val="008626E3"/>
    <w:rsid w:val="00863139"/>
    <w:rsid w:val="00863DDD"/>
    <w:rsid w:val="008663B9"/>
    <w:rsid w:val="00872C10"/>
    <w:rsid w:val="008802FB"/>
    <w:rsid w:val="00882C2D"/>
    <w:rsid w:val="00886422"/>
    <w:rsid w:val="00892E14"/>
    <w:rsid w:val="00894A43"/>
    <w:rsid w:val="008A04F6"/>
    <w:rsid w:val="008A260B"/>
    <w:rsid w:val="008B20F5"/>
    <w:rsid w:val="008B2251"/>
    <w:rsid w:val="008B4BE1"/>
    <w:rsid w:val="008B5D6E"/>
    <w:rsid w:val="008B60B1"/>
    <w:rsid w:val="008B6CE6"/>
    <w:rsid w:val="008C3035"/>
    <w:rsid w:val="008C63D9"/>
    <w:rsid w:val="008C7E93"/>
    <w:rsid w:val="008D0B16"/>
    <w:rsid w:val="008D31A3"/>
    <w:rsid w:val="008D47B2"/>
    <w:rsid w:val="008D5E7F"/>
    <w:rsid w:val="008D6030"/>
    <w:rsid w:val="008D6454"/>
    <w:rsid w:val="008D669B"/>
    <w:rsid w:val="008D6E84"/>
    <w:rsid w:val="008E2F8E"/>
    <w:rsid w:val="008E57B2"/>
    <w:rsid w:val="009053C2"/>
    <w:rsid w:val="0090602D"/>
    <w:rsid w:val="00906DE2"/>
    <w:rsid w:val="00921EF0"/>
    <w:rsid w:val="009245F6"/>
    <w:rsid w:val="00926FBE"/>
    <w:rsid w:val="00931E52"/>
    <w:rsid w:val="00934631"/>
    <w:rsid w:val="00936142"/>
    <w:rsid w:val="00937C7A"/>
    <w:rsid w:val="0094093B"/>
    <w:rsid w:val="0094099C"/>
    <w:rsid w:val="00946661"/>
    <w:rsid w:val="0095066F"/>
    <w:rsid w:val="00957BB2"/>
    <w:rsid w:val="00961C39"/>
    <w:rsid w:val="00963CEF"/>
    <w:rsid w:val="00967E80"/>
    <w:rsid w:val="00971060"/>
    <w:rsid w:val="00971432"/>
    <w:rsid w:val="00971935"/>
    <w:rsid w:val="00976C63"/>
    <w:rsid w:val="00984A2A"/>
    <w:rsid w:val="009868D5"/>
    <w:rsid w:val="009869CE"/>
    <w:rsid w:val="0099021A"/>
    <w:rsid w:val="009922B4"/>
    <w:rsid w:val="00993E0B"/>
    <w:rsid w:val="009946DD"/>
    <w:rsid w:val="009957B3"/>
    <w:rsid w:val="00997C68"/>
    <w:rsid w:val="009A43EE"/>
    <w:rsid w:val="009B26B5"/>
    <w:rsid w:val="009B4FE5"/>
    <w:rsid w:val="009C0F47"/>
    <w:rsid w:val="009C1C71"/>
    <w:rsid w:val="009C1D33"/>
    <w:rsid w:val="009C2364"/>
    <w:rsid w:val="009C7D38"/>
    <w:rsid w:val="009D1495"/>
    <w:rsid w:val="009D56DD"/>
    <w:rsid w:val="009D7D87"/>
    <w:rsid w:val="009F5B3F"/>
    <w:rsid w:val="009F7DE1"/>
    <w:rsid w:val="00A000A4"/>
    <w:rsid w:val="00A01857"/>
    <w:rsid w:val="00A032F5"/>
    <w:rsid w:val="00A0669A"/>
    <w:rsid w:val="00A16404"/>
    <w:rsid w:val="00A20C95"/>
    <w:rsid w:val="00A24711"/>
    <w:rsid w:val="00A2599D"/>
    <w:rsid w:val="00A30750"/>
    <w:rsid w:val="00A331DC"/>
    <w:rsid w:val="00A37F67"/>
    <w:rsid w:val="00A432A7"/>
    <w:rsid w:val="00A51303"/>
    <w:rsid w:val="00A61099"/>
    <w:rsid w:val="00A616A7"/>
    <w:rsid w:val="00A624BB"/>
    <w:rsid w:val="00A75AC2"/>
    <w:rsid w:val="00A77C5E"/>
    <w:rsid w:val="00A830B5"/>
    <w:rsid w:val="00A9096E"/>
    <w:rsid w:val="00A97418"/>
    <w:rsid w:val="00AA2219"/>
    <w:rsid w:val="00AA2DF0"/>
    <w:rsid w:val="00AA361A"/>
    <w:rsid w:val="00AA52A5"/>
    <w:rsid w:val="00AB040F"/>
    <w:rsid w:val="00AB09C4"/>
    <w:rsid w:val="00AB4CAB"/>
    <w:rsid w:val="00AB6035"/>
    <w:rsid w:val="00AD0E4D"/>
    <w:rsid w:val="00AD218A"/>
    <w:rsid w:val="00AD5CF2"/>
    <w:rsid w:val="00AD6859"/>
    <w:rsid w:val="00AE1C5E"/>
    <w:rsid w:val="00AE5827"/>
    <w:rsid w:val="00AF0106"/>
    <w:rsid w:val="00AF1418"/>
    <w:rsid w:val="00B00A18"/>
    <w:rsid w:val="00B00F9A"/>
    <w:rsid w:val="00B05EAF"/>
    <w:rsid w:val="00B15183"/>
    <w:rsid w:val="00B202CE"/>
    <w:rsid w:val="00B22555"/>
    <w:rsid w:val="00B22D99"/>
    <w:rsid w:val="00B271D9"/>
    <w:rsid w:val="00B433E8"/>
    <w:rsid w:val="00B43534"/>
    <w:rsid w:val="00B44DB5"/>
    <w:rsid w:val="00B45BD6"/>
    <w:rsid w:val="00B564A9"/>
    <w:rsid w:val="00B5716E"/>
    <w:rsid w:val="00B60CFB"/>
    <w:rsid w:val="00B62FD4"/>
    <w:rsid w:val="00B65A84"/>
    <w:rsid w:val="00B65AA3"/>
    <w:rsid w:val="00B7042F"/>
    <w:rsid w:val="00B733AC"/>
    <w:rsid w:val="00B7686F"/>
    <w:rsid w:val="00B76E78"/>
    <w:rsid w:val="00B9082F"/>
    <w:rsid w:val="00B918BB"/>
    <w:rsid w:val="00B929D2"/>
    <w:rsid w:val="00B9329E"/>
    <w:rsid w:val="00B94B7E"/>
    <w:rsid w:val="00BA41E6"/>
    <w:rsid w:val="00BB4679"/>
    <w:rsid w:val="00BC0A6A"/>
    <w:rsid w:val="00BC50CB"/>
    <w:rsid w:val="00BD0626"/>
    <w:rsid w:val="00BD096F"/>
    <w:rsid w:val="00BD2AA4"/>
    <w:rsid w:val="00BD413F"/>
    <w:rsid w:val="00BD4AD5"/>
    <w:rsid w:val="00BD53C0"/>
    <w:rsid w:val="00BE5B2D"/>
    <w:rsid w:val="00BF425D"/>
    <w:rsid w:val="00BF4759"/>
    <w:rsid w:val="00BF5A00"/>
    <w:rsid w:val="00BF7868"/>
    <w:rsid w:val="00BF7C7E"/>
    <w:rsid w:val="00C06A60"/>
    <w:rsid w:val="00C0733A"/>
    <w:rsid w:val="00C07835"/>
    <w:rsid w:val="00C153AD"/>
    <w:rsid w:val="00C21EBA"/>
    <w:rsid w:val="00C22986"/>
    <w:rsid w:val="00C357BA"/>
    <w:rsid w:val="00C35CE1"/>
    <w:rsid w:val="00C36024"/>
    <w:rsid w:val="00C374F1"/>
    <w:rsid w:val="00C441E8"/>
    <w:rsid w:val="00C44BA5"/>
    <w:rsid w:val="00C54E4F"/>
    <w:rsid w:val="00C632B8"/>
    <w:rsid w:val="00C65FCD"/>
    <w:rsid w:val="00C7018F"/>
    <w:rsid w:val="00C7078F"/>
    <w:rsid w:val="00C72B44"/>
    <w:rsid w:val="00C72F09"/>
    <w:rsid w:val="00C771BF"/>
    <w:rsid w:val="00C84361"/>
    <w:rsid w:val="00C84664"/>
    <w:rsid w:val="00C869AA"/>
    <w:rsid w:val="00C904AA"/>
    <w:rsid w:val="00C96FF6"/>
    <w:rsid w:val="00CA085C"/>
    <w:rsid w:val="00CA11BD"/>
    <w:rsid w:val="00CA19C1"/>
    <w:rsid w:val="00CB1A01"/>
    <w:rsid w:val="00CB41C6"/>
    <w:rsid w:val="00CB5465"/>
    <w:rsid w:val="00CB7EB4"/>
    <w:rsid w:val="00CC11CF"/>
    <w:rsid w:val="00CD1F44"/>
    <w:rsid w:val="00CE1D11"/>
    <w:rsid w:val="00CF0C62"/>
    <w:rsid w:val="00CF190D"/>
    <w:rsid w:val="00CF1D7F"/>
    <w:rsid w:val="00CF2C88"/>
    <w:rsid w:val="00CF794B"/>
    <w:rsid w:val="00D015CD"/>
    <w:rsid w:val="00D03220"/>
    <w:rsid w:val="00D065E8"/>
    <w:rsid w:val="00D12D15"/>
    <w:rsid w:val="00D17106"/>
    <w:rsid w:val="00D24698"/>
    <w:rsid w:val="00D24F72"/>
    <w:rsid w:val="00D25941"/>
    <w:rsid w:val="00D34BC5"/>
    <w:rsid w:val="00D36CF5"/>
    <w:rsid w:val="00D41063"/>
    <w:rsid w:val="00D4164C"/>
    <w:rsid w:val="00D42384"/>
    <w:rsid w:val="00D426EA"/>
    <w:rsid w:val="00D45973"/>
    <w:rsid w:val="00D46E93"/>
    <w:rsid w:val="00D50587"/>
    <w:rsid w:val="00D50A0E"/>
    <w:rsid w:val="00D50E3E"/>
    <w:rsid w:val="00D52E7B"/>
    <w:rsid w:val="00D53188"/>
    <w:rsid w:val="00D55233"/>
    <w:rsid w:val="00D65525"/>
    <w:rsid w:val="00D66A50"/>
    <w:rsid w:val="00D70AEC"/>
    <w:rsid w:val="00D74046"/>
    <w:rsid w:val="00D75DC5"/>
    <w:rsid w:val="00D77664"/>
    <w:rsid w:val="00D808A9"/>
    <w:rsid w:val="00D81E58"/>
    <w:rsid w:val="00D872C1"/>
    <w:rsid w:val="00D9408D"/>
    <w:rsid w:val="00D94796"/>
    <w:rsid w:val="00DA5EAF"/>
    <w:rsid w:val="00DB2D66"/>
    <w:rsid w:val="00DB33B9"/>
    <w:rsid w:val="00DB7EF8"/>
    <w:rsid w:val="00DC1426"/>
    <w:rsid w:val="00DD15F2"/>
    <w:rsid w:val="00DD1B82"/>
    <w:rsid w:val="00DD7033"/>
    <w:rsid w:val="00DE588B"/>
    <w:rsid w:val="00DF1B14"/>
    <w:rsid w:val="00DF2422"/>
    <w:rsid w:val="00E0351C"/>
    <w:rsid w:val="00E039CD"/>
    <w:rsid w:val="00E079EB"/>
    <w:rsid w:val="00E07DCD"/>
    <w:rsid w:val="00E10427"/>
    <w:rsid w:val="00E11825"/>
    <w:rsid w:val="00E122BD"/>
    <w:rsid w:val="00E16F47"/>
    <w:rsid w:val="00E171FB"/>
    <w:rsid w:val="00E177DE"/>
    <w:rsid w:val="00E21332"/>
    <w:rsid w:val="00E2682A"/>
    <w:rsid w:val="00E26911"/>
    <w:rsid w:val="00E324D2"/>
    <w:rsid w:val="00E37C78"/>
    <w:rsid w:val="00E53580"/>
    <w:rsid w:val="00E538CA"/>
    <w:rsid w:val="00E5653F"/>
    <w:rsid w:val="00E60315"/>
    <w:rsid w:val="00E628A3"/>
    <w:rsid w:val="00E73552"/>
    <w:rsid w:val="00E73D26"/>
    <w:rsid w:val="00E8143C"/>
    <w:rsid w:val="00E93246"/>
    <w:rsid w:val="00E93B8F"/>
    <w:rsid w:val="00EA6047"/>
    <w:rsid w:val="00EA6656"/>
    <w:rsid w:val="00EA7543"/>
    <w:rsid w:val="00EB032C"/>
    <w:rsid w:val="00EB1500"/>
    <w:rsid w:val="00EB4876"/>
    <w:rsid w:val="00EB4EBC"/>
    <w:rsid w:val="00EB6D5B"/>
    <w:rsid w:val="00EB73E4"/>
    <w:rsid w:val="00EC0880"/>
    <w:rsid w:val="00EC217E"/>
    <w:rsid w:val="00EC6CA5"/>
    <w:rsid w:val="00ED701C"/>
    <w:rsid w:val="00ED7049"/>
    <w:rsid w:val="00EE0F48"/>
    <w:rsid w:val="00EE16BA"/>
    <w:rsid w:val="00EE6D01"/>
    <w:rsid w:val="00EF3612"/>
    <w:rsid w:val="00F0245E"/>
    <w:rsid w:val="00F02D7D"/>
    <w:rsid w:val="00F07BFE"/>
    <w:rsid w:val="00F07F27"/>
    <w:rsid w:val="00F106C0"/>
    <w:rsid w:val="00F12A10"/>
    <w:rsid w:val="00F14E5C"/>
    <w:rsid w:val="00F22251"/>
    <w:rsid w:val="00F2400F"/>
    <w:rsid w:val="00F25316"/>
    <w:rsid w:val="00F26590"/>
    <w:rsid w:val="00F2661B"/>
    <w:rsid w:val="00F31068"/>
    <w:rsid w:val="00F3154E"/>
    <w:rsid w:val="00F318F1"/>
    <w:rsid w:val="00F33748"/>
    <w:rsid w:val="00F33F5C"/>
    <w:rsid w:val="00F35C24"/>
    <w:rsid w:val="00F3668E"/>
    <w:rsid w:val="00F374BE"/>
    <w:rsid w:val="00F463DC"/>
    <w:rsid w:val="00F51AAC"/>
    <w:rsid w:val="00F54507"/>
    <w:rsid w:val="00F55204"/>
    <w:rsid w:val="00F640D9"/>
    <w:rsid w:val="00F670DA"/>
    <w:rsid w:val="00F70187"/>
    <w:rsid w:val="00F721C9"/>
    <w:rsid w:val="00F74BB6"/>
    <w:rsid w:val="00F75DB6"/>
    <w:rsid w:val="00F76866"/>
    <w:rsid w:val="00F77503"/>
    <w:rsid w:val="00F8013B"/>
    <w:rsid w:val="00F837A5"/>
    <w:rsid w:val="00F8672B"/>
    <w:rsid w:val="00F90908"/>
    <w:rsid w:val="00F96E65"/>
    <w:rsid w:val="00FB24A7"/>
    <w:rsid w:val="00FB391E"/>
    <w:rsid w:val="00FC1D38"/>
    <w:rsid w:val="00FC2455"/>
    <w:rsid w:val="00FC3200"/>
    <w:rsid w:val="00FC7650"/>
    <w:rsid w:val="00FD5AC0"/>
    <w:rsid w:val="00FD661B"/>
    <w:rsid w:val="00FD7437"/>
    <w:rsid w:val="00FE2C0E"/>
    <w:rsid w:val="00FE5C75"/>
    <w:rsid w:val="00FE5CBA"/>
    <w:rsid w:val="00FE670C"/>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E55"/>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UnresolvedMention">
    <w:name w:val="Unresolved Mention"/>
    <w:basedOn w:val="Policepardfaut"/>
    <w:uiPriority w:val="99"/>
    <w:semiHidden/>
    <w:unhideWhenUsed/>
    <w:rsid w:val="00090B99"/>
    <w:rPr>
      <w:color w:val="605E5C"/>
      <w:shd w:val="clear" w:color="auto" w:fill="E1DFDD"/>
    </w:rPr>
  </w:style>
  <w:style w:type="character" w:customStyle="1" w:styleId="screenelement">
    <w:name w:val="screenelement"/>
    <w:basedOn w:val="Policepardfaut"/>
    <w:rsid w:val="00F54507"/>
  </w:style>
  <w:style w:type="character" w:customStyle="1" w:styleId="almarntag">
    <w:name w:val="almarntag"/>
    <w:basedOn w:val="Policepardfaut"/>
    <w:rsid w:val="00F54507"/>
  </w:style>
  <w:style w:type="paragraph" w:styleId="NormalWeb">
    <w:name w:val="Normal (Web)"/>
    <w:basedOn w:val="Normal"/>
    <w:uiPriority w:val="99"/>
    <w:semiHidden/>
    <w:unhideWhenUsed/>
    <w:rsid w:val="00F5450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821">
      <w:bodyDiv w:val="1"/>
      <w:marLeft w:val="0"/>
      <w:marRight w:val="0"/>
      <w:marTop w:val="0"/>
      <w:marBottom w:val="0"/>
      <w:divBdr>
        <w:top w:val="none" w:sz="0" w:space="0" w:color="auto"/>
        <w:left w:val="none" w:sz="0" w:space="0" w:color="auto"/>
        <w:bottom w:val="none" w:sz="0" w:space="0" w:color="auto"/>
        <w:right w:val="none" w:sz="0" w:space="0" w:color="auto"/>
      </w:divBdr>
      <w:divsChild>
        <w:div w:id="475953597">
          <w:marLeft w:val="0"/>
          <w:marRight w:val="0"/>
          <w:marTop w:val="0"/>
          <w:marBottom w:val="0"/>
          <w:divBdr>
            <w:top w:val="none" w:sz="0" w:space="0" w:color="auto"/>
            <w:left w:val="none" w:sz="0" w:space="0" w:color="auto"/>
            <w:bottom w:val="none" w:sz="0" w:space="0" w:color="auto"/>
            <w:right w:val="none" w:sz="0" w:space="0" w:color="auto"/>
          </w:divBdr>
        </w:div>
      </w:divsChild>
    </w:div>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
    <w:div w:id="1186212700">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hyperlink" Target="https://knowledge.exlibrisgroup.com/Alma/Release_Notes/2022/Alma_2022_Release_Notes?mon=202211BAS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0710C9"/>
    <w:rsid w:val="000C66EF"/>
    <w:rsid w:val="001D43AB"/>
    <w:rsid w:val="0020716B"/>
    <w:rsid w:val="00253EAA"/>
    <w:rsid w:val="0030047C"/>
    <w:rsid w:val="003942C8"/>
    <w:rsid w:val="003C51E5"/>
    <w:rsid w:val="00496622"/>
    <w:rsid w:val="006378F0"/>
    <w:rsid w:val="006816E7"/>
    <w:rsid w:val="006D448B"/>
    <w:rsid w:val="006E63FF"/>
    <w:rsid w:val="006E761A"/>
    <w:rsid w:val="008F5EF0"/>
    <w:rsid w:val="00A67A04"/>
    <w:rsid w:val="00AB00C3"/>
    <w:rsid w:val="00B20AE5"/>
    <w:rsid w:val="00B955F0"/>
    <w:rsid w:val="00C66D07"/>
    <w:rsid w:val="00DD50BF"/>
    <w:rsid w:val="00E22BFD"/>
    <w:rsid w:val="00E32E7A"/>
    <w:rsid w:val="00ED703A"/>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A5AC9-CA7E-42E7-B555-B1FBD8DFB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1866</Words>
  <Characters>10263</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Note de version Alma – 4e trimestre 2022</vt:lpstr>
    </vt:vector>
  </TitlesOfParts>
  <Company>Microsoft</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4e trimestre 2022</dc:title>
  <dc:subject/>
  <dc:creator>Loïc Ducasse</dc:creator>
  <cp:keywords/>
  <dc:description/>
  <cp:lastModifiedBy>Loic Ducasse</cp:lastModifiedBy>
  <cp:revision>3</cp:revision>
  <dcterms:created xsi:type="dcterms:W3CDTF">2022-10-27T16:09:00Z</dcterms:created>
  <dcterms:modified xsi:type="dcterms:W3CDTF">2022-11-04T17:01:00Z</dcterms:modified>
</cp:coreProperties>
</file>